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644D" w14:textId="59ECC17F" w:rsidR="00AC377F" w:rsidRPr="00A369A1" w:rsidRDefault="00AC377F" w:rsidP="00AC377F">
      <w:pPr>
        <w:jc w:val="both"/>
        <w:rPr>
          <w:b/>
          <w:bCs/>
          <w:color w:val="518ECB"/>
          <w:sz w:val="28"/>
          <w:szCs w:val="28"/>
        </w:rPr>
      </w:pPr>
      <w:bookmarkStart w:id="0" w:name="_GoBack"/>
      <w:bookmarkEnd w:id="0"/>
      <w:r w:rsidRPr="00A369A1">
        <w:rPr>
          <w:b/>
          <w:bCs/>
          <w:color w:val="518ECB"/>
          <w:sz w:val="28"/>
          <w:szCs w:val="28"/>
        </w:rPr>
        <w:t>S</w:t>
      </w:r>
      <w:r>
        <w:rPr>
          <w:b/>
          <w:bCs/>
          <w:color w:val="518ECB"/>
          <w:sz w:val="28"/>
          <w:szCs w:val="28"/>
        </w:rPr>
        <w:t>ection II</w:t>
      </w:r>
      <w:r w:rsidRPr="00A369A1">
        <w:rPr>
          <w:b/>
          <w:bCs/>
          <w:color w:val="518ECB"/>
          <w:sz w:val="28"/>
          <w:szCs w:val="28"/>
        </w:rPr>
        <w:t xml:space="preserve">: Schedule of Requirements </w:t>
      </w:r>
      <w:r w:rsidR="006651DC">
        <w:rPr>
          <w:b/>
          <w:bCs/>
          <w:color w:val="518ECB"/>
          <w:sz w:val="28"/>
          <w:szCs w:val="28"/>
        </w:rPr>
        <w:t xml:space="preserve">– </w:t>
      </w:r>
      <w:r w:rsidR="00D45029">
        <w:rPr>
          <w:b/>
          <w:bCs/>
          <w:color w:val="518ECB"/>
          <w:sz w:val="28"/>
          <w:szCs w:val="28"/>
        </w:rPr>
        <w:t>Independent Evaluation</w:t>
      </w:r>
      <w:r w:rsidR="009000BE">
        <w:rPr>
          <w:b/>
          <w:bCs/>
          <w:color w:val="518ECB"/>
          <w:sz w:val="28"/>
          <w:szCs w:val="28"/>
        </w:rPr>
        <w:t xml:space="preserve"> for UNOCHA Centre for Humanitarian Data </w:t>
      </w:r>
    </w:p>
    <w:p w14:paraId="1F18D0C4" w14:textId="77777777" w:rsidR="00AC377F" w:rsidRPr="00456DC5" w:rsidRDefault="00AC377F" w:rsidP="00AC377F"/>
    <w:p w14:paraId="160DAD2C" w14:textId="77777777" w:rsidR="00AC377F" w:rsidRPr="00AC377F" w:rsidRDefault="00AC377F" w:rsidP="00AC377F">
      <w:pPr>
        <w:pStyle w:val="ListParagraph"/>
        <w:numPr>
          <w:ilvl w:val="0"/>
          <w:numId w:val="8"/>
        </w:numPr>
        <w:textAlignment w:val="center"/>
        <w:rPr>
          <w:b/>
          <w:bCs/>
        </w:rPr>
      </w:pPr>
      <w:r>
        <w:rPr>
          <w:b/>
          <w:bCs/>
        </w:rPr>
        <w:t xml:space="preserve">General </w:t>
      </w:r>
      <w:r w:rsidRPr="00AC377F">
        <w:rPr>
          <w:b/>
          <w:bCs/>
        </w:rPr>
        <w:t>Background</w:t>
      </w:r>
    </w:p>
    <w:p w14:paraId="25B92CC7" w14:textId="77777777" w:rsidR="00497F2C" w:rsidRDefault="00497F2C" w:rsidP="00497F2C">
      <w:pPr>
        <w:jc w:val="both"/>
      </w:pPr>
    </w:p>
    <w:p w14:paraId="71B03243" w14:textId="77777777" w:rsidR="00D45029" w:rsidRDefault="00D45029" w:rsidP="00D45029">
      <w:r>
        <w:t>The United Nations Office for the Coordination of Humanitarian Affairs (OCHA) has a Centre for Humanitarian Data in The Hague with the goal to increase the use and impact of data in the humanitarian sector. The vision is to create a future where all people involved in a humanitarian emergency have access to the data they need, when and how they need it, to make responsible and informed decisions. The audience for the Centre includes OCHA staff and humanitarian partners in the field and at headquarters.</w:t>
      </w:r>
    </w:p>
    <w:p w14:paraId="0F85331F" w14:textId="77777777" w:rsidR="00D45029" w:rsidRDefault="00D45029" w:rsidP="00D45029">
      <w:r>
        <w:t xml:space="preserve"> </w:t>
      </w:r>
    </w:p>
    <w:p w14:paraId="0406ECA1" w14:textId="77777777" w:rsidR="00D45029" w:rsidRDefault="00D45029" w:rsidP="00D45029">
      <w:r>
        <w:t>The Centre focuses on four workstreams: data services, data policy, data literacy, and network engagement. The Centre’s data services work includes direct management of the Humanitarian Data Exchange (HDX) platform and the Humanitarian Exchange Language (HXL) data standard. Data services also supports the adoption of the International Aid Transparency Initiative (IATI) financial data standard.</w:t>
      </w:r>
    </w:p>
    <w:p w14:paraId="18B09117" w14:textId="77777777" w:rsidR="00D45029" w:rsidRDefault="00D45029" w:rsidP="00D45029">
      <w:r>
        <w:t xml:space="preserve"> </w:t>
      </w:r>
    </w:p>
    <w:p w14:paraId="48BAE676" w14:textId="77777777" w:rsidR="00D45029" w:rsidRDefault="00D45029" w:rsidP="00D45029">
      <w:r>
        <w:t>The Centre’s data literacy work focuses on improving the data skills of technical and non-technical humanitarians. In the area of data policy, the Centre has created a working draft of the OCHA Data Responsibility Guidelines and provides support to staff and partners to improve approaches in this area. Finally, the Centre works to further build and engage an active community in support of its mission and objectives through a number of events and communication activities.</w:t>
      </w:r>
    </w:p>
    <w:p w14:paraId="4528252B" w14:textId="77777777" w:rsidR="00D45029" w:rsidRDefault="00D45029" w:rsidP="00D45029">
      <w:r>
        <w:t xml:space="preserve"> </w:t>
      </w:r>
    </w:p>
    <w:p w14:paraId="3026B678" w14:textId="6AB4E6AE" w:rsidR="00D45029" w:rsidRDefault="00D45029" w:rsidP="00D45029">
      <w:r>
        <w:t>The Centre was established on the basis of an initial three-year business plan, with a detailed results framework to track progress on a regular basis. The Centre has four objectives which map to its four workstreams:</w:t>
      </w:r>
    </w:p>
    <w:p w14:paraId="39029B6B" w14:textId="77777777" w:rsidR="00D45029" w:rsidRDefault="00D45029" w:rsidP="00D45029"/>
    <w:p w14:paraId="5832D6E2" w14:textId="77777777" w:rsidR="00D45029" w:rsidRDefault="00D45029" w:rsidP="00D45029">
      <w:pPr>
        <w:numPr>
          <w:ilvl w:val="0"/>
          <w:numId w:val="20"/>
        </w:numPr>
        <w:spacing w:line="276" w:lineRule="auto"/>
      </w:pPr>
      <w:r>
        <w:t>Increase the interoperability of humanitarian data through shared standards and integrated systems (data services);</w:t>
      </w:r>
    </w:p>
    <w:p w14:paraId="316A8C45" w14:textId="77777777" w:rsidR="00D45029" w:rsidRDefault="00D45029" w:rsidP="00D45029">
      <w:pPr>
        <w:numPr>
          <w:ilvl w:val="0"/>
          <w:numId w:val="20"/>
        </w:numPr>
        <w:spacing w:line="276" w:lineRule="auto"/>
      </w:pPr>
      <w:r>
        <w:t>Increase the trust and cooperation across organizations sharing data in humanitarian response (data policy);</w:t>
      </w:r>
    </w:p>
    <w:p w14:paraId="5F9409AF" w14:textId="77777777" w:rsidR="00D45029" w:rsidRDefault="00D45029" w:rsidP="00D45029">
      <w:pPr>
        <w:numPr>
          <w:ilvl w:val="0"/>
          <w:numId w:val="20"/>
        </w:numPr>
        <w:spacing w:line="276" w:lineRule="auto"/>
      </w:pPr>
      <w:r>
        <w:t>Increase the capability of people to access and use data in support of humanitarian efforts (data literacy);</w:t>
      </w:r>
    </w:p>
    <w:p w14:paraId="4D445783" w14:textId="77777777" w:rsidR="00D45029" w:rsidRDefault="00D45029" w:rsidP="00D45029">
      <w:pPr>
        <w:numPr>
          <w:ilvl w:val="0"/>
          <w:numId w:val="20"/>
        </w:numPr>
        <w:spacing w:line="276" w:lineRule="auto"/>
      </w:pPr>
      <w:r>
        <w:t>Increase the number of active partners engaged with the Centre (network engagement).</w:t>
      </w:r>
    </w:p>
    <w:p w14:paraId="51DE2DBB" w14:textId="77777777" w:rsidR="00D45029" w:rsidRDefault="00D45029" w:rsidP="00D45029">
      <w:r>
        <w:t xml:space="preserve"> </w:t>
      </w:r>
    </w:p>
    <w:p w14:paraId="538D4369" w14:textId="77777777" w:rsidR="00D45029" w:rsidRDefault="00D45029" w:rsidP="00D45029">
      <w:r>
        <w:t>The results framework also includes three outcome indicators. The Centre worked with the Overseas Development Institute’s Humanitarian Policy Group in early 2018 on an assessment of the results framework, in particular to finalize the outcome indicators and develop the baseline measurements.</w:t>
      </w:r>
    </w:p>
    <w:p w14:paraId="6D60033C" w14:textId="77777777" w:rsidR="00D45029" w:rsidRDefault="00D45029" w:rsidP="00D45029">
      <w:r>
        <w:t xml:space="preserve"> </w:t>
      </w:r>
    </w:p>
    <w:p w14:paraId="17690AD0" w14:textId="79251A65" w:rsidR="00D45029" w:rsidRDefault="00D45029" w:rsidP="00D45029">
      <w:r>
        <w:t>Following this research, the Centre made some adjustments to the three outcomes which were finalized as:</w:t>
      </w:r>
    </w:p>
    <w:p w14:paraId="1F728769" w14:textId="77777777" w:rsidR="00D45029" w:rsidRDefault="00D45029" w:rsidP="00D45029"/>
    <w:p w14:paraId="33D08456" w14:textId="77777777" w:rsidR="00D45029" w:rsidRDefault="00D45029" w:rsidP="00D45029">
      <w:pPr>
        <w:numPr>
          <w:ilvl w:val="0"/>
          <w:numId w:val="21"/>
        </w:numPr>
        <w:spacing w:line="276" w:lineRule="auto"/>
      </w:pPr>
      <w:r>
        <w:t>Increase the speed of data from the end of data collection to published product;</w:t>
      </w:r>
    </w:p>
    <w:p w14:paraId="6171A89D" w14:textId="77777777" w:rsidR="00D45029" w:rsidRDefault="00D45029" w:rsidP="00D45029">
      <w:pPr>
        <w:numPr>
          <w:ilvl w:val="0"/>
          <w:numId w:val="21"/>
        </w:numPr>
        <w:spacing w:line="276" w:lineRule="auto"/>
      </w:pPr>
      <w:r>
        <w:t>Increase the number and strength of connections with the Centre, across categories of engagement; and</w:t>
      </w:r>
    </w:p>
    <w:p w14:paraId="605E72EA" w14:textId="77777777" w:rsidR="00D45029" w:rsidRDefault="00D45029" w:rsidP="00D45029">
      <w:pPr>
        <w:numPr>
          <w:ilvl w:val="0"/>
          <w:numId w:val="21"/>
        </w:numPr>
        <w:spacing w:line="276" w:lineRule="auto"/>
      </w:pPr>
      <w:r>
        <w:t>Increase the use of HDX.</w:t>
      </w:r>
    </w:p>
    <w:p w14:paraId="226B59B8" w14:textId="77777777" w:rsidR="00D45029" w:rsidRDefault="00D45029" w:rsidP="00D45029">
      <w:r>
        <w:t xml:space="preserve"> </w:t>
      </w:r>
    </w:p>
    <w:p w14:paraId="0B5DB21A" w14:textId="77777777" w:rsidR="00D45029" w:rsidRDefault="00D45029" w:rsidP="00D45029">
      <w:r>
        <w:t xml:space="preserve">The Centre’s business model has two defining aspects: a geographically distributed team and implementation support from UNOPS. The Centre has a small number of </w:t>
      </w:r>
      <w:proofErr w:type="gramStart"/>
      <w:r>
        <w:t>staff</w:t>
      </w:r>
      <w:proofErr w:type="gramEnd"/>
      <w:r>
        <w:t xml:space="preserve"> based in The Hague and Geneva, with field teams in Dakar, Nairobi, and Jakarta, among other locations.</w:t>
      </w:r>
    </w:p>
    <w:p w14:paraId="24864326" w14:textId="77777777" w:rsidR="00D45029" w:rsidRDefault="00D45029" w:rsidP="00D45029">
      <w:r>
        <w:t xml:space="preserve"> </w:t>
      </w:r>
    </w:p>
    <w:p w14:paraId="4DCAC905" w14:textId="5C89BB48" w:rsidR="00D45029" w:rsidRDefault="00D45029" w:rsidP="00D45029">
      <w:pPr>
        <w:rPr>
          <w:b/>
        </w:rPr>
      </w:pPr>
      <w:r>
        <w:rPr>
          <w:b/>
        </w:rPr>
        <w:t>Rationale for Evaluation</w:t>
      </w:r>
    </w:p>
    <w:p w14:paraId="2AE2A61B" w14:textId="77777777" w:rsidR="00D45029" w:rsidRDefault="00D45029" w:rsidP="00D45029">
      <w:pPr>
        <w:rPr>
          <w:b/>
        </w:rPr>
      </w:pPr>
    </w:p>
    <w:p w14:paraId="778E91D7" w14:textId="77777777" w:rsidR="00D45029" w:rsidRDefault="00D45029" w:rsidP="00D45029">
      <w:r>
        <w:t>The Centre represents a new way of working and can be considered a process innovation. The Centre also houses innovative products such as the Humanitarian Data Exchange (HDX) platform and the development of new models for predicting humanitarian needs. Monitoring progress with innovation initiatives can be different than with standard programming. As ALNAP points out in their working paper on evaluating innovation: “innovation processes are characterised primarily by their open and iterative structure: innovation teams are expected to learn and make significant changes to their intended intervention or product along the way, rather than stick to an initial set of aims or criteria.”</w:t>
      </w:r>
    </w:p>
    <w:p w14:paraId="337DDAD2" w14:textId="77777777" w:rsidR="00D45029" w:rsidRDefault="00D45029" w:rsidP="00D45029">
      <w:r>
        <w:t xml:space="preserve"> </w:t>
      </w:r>
    </w:p>
    <w:p w14:paraId="7E406B8C" w14:textId="77777777" w:rsidR="00D45029" w:rsidRDefault="00D45029" w:rsidP="00D45029">
      <w:r>
        <w:lastRenderedPageBreak/>
        <w:t>It was in this spirit that OCHA committed to undertaking an independent evaluation of the Centre at the two-year mark of its operations. Although the Centre was formally launched by the UN Secretary-General in December 2017, the three-year project and grant funding started in July 2017. The evaluation should therefore happen around July 2019.</w:t>
      </w:r>
    </w:p>
    <w:p w14:paraId="086AE215" w14:textId="77777777" w:rsidR="00D45029" w:rsidRDefault="00D45029" w:rsidP="00D45029">
      <w:r>
        <w:t xml:space="preserve"> </w:t>
      </w:r>
    </w:p>
    <w:p w14:paraId="076FFBCD" w14:textId="77777777" w:rsidR="00D45029" w:rsidRDefault="00D45029" w:rsidP="00D45029">
      <w:r>
        <w:t xml:space="preserve">There are two goals for the evaluation: accountability and learning. The Centre has received investment from a number of </w:t>
      </w:r>
      <w:proofErr w:type="gramStart"/>
      <w:r>
        <w:t>stakeholders</w:t>
      </w:r>
      <w:proofErr w:type="gramEnd"/>
      <w:r>
        <w:t xml:space="preserve"> and we need to be accountable for that funding given all of the other priorities in the humanitarian sector. We also believe that we will benefit from an objective assessment of our role, structure, model and work so that we can improve and adjust as needed. The evaluation will help determine whether the Centre should continue beyond its initial three years and what revisions or additions are needed. </w:t>
      </w:r>
    </w:p>
    <w:p w14:paraId="6E1B957A" w14:textId="77777777" w:rsidR="00D45029" w:rsidRDefault="00D45029" w:rsidP="00D45029">
      <w:r>
        <w:t xml:space="preserve"> </w:t>
      </w:r>
    </w:p>
    <w:p w14:paraId="33425764" w14:textId="12BDA93E" w:rsidR="00D45029" w:rsidRDefault="00D45029" w:rsidP="00D45029">
      <w:pPr>
        <w:rPr>
          <w:b/>
        </w:rPr>
      </w:pPr>
      <w:r>
        <w:rPr>
          <w:b/>
        </w:rPr>
        <w:t>Scope of Evaluation</w:t>
      </w:r>
    </w:p>
    <w:p w14:paraId="111258BD" w14:textId="77777777" w:rsidR="00D45029" w:rsidRDefault="00D45029" w:rsidP="00D45029">
      <w:pPr>
        <w:rPr>
          <w:b/>
        </w:rPr>
      </w:pPr>
    </w:p>
    <w:p w14:paraId="131F6ABA" w14:textId="18E39863" w:rsidR="00D45029" w:rsidRDefault="00D45029" w:rsidP="00D45029">
      <w:pPr>
        <w:jc w:val="both"/>
      </w:pPr>
      <w:r>
        <w:t>The evaluation has the following broad objectives:</w:t>
      </w:r>
    </w:p>
    <w:p w14:paraId="6E59D538" w14:textId="77777777" w:rsidR="00D45029" w:rsidRDefault="00D45029" w:rsidP="00D45029">
      <w:pPr>
        <w:jc w:val="both"/>
      </w:pPr>
    </w:p>
    <w:p w14:paraId="374E1B6A" w14:textId="77777777" w:rsidR="00D45029" w:rsidRDefault="00D45029" w:rsidP="00D45029">
      <w:pPr>
        <w:numPr>
          <w:ilvl w:val="0"/>
          <w:numId w:val="19"/>
        </w:numPr>
        <w:spacing w:line="276" w:lineRule="auto"/>
      </w:pPr>
      <w:r>
        <w:t>Measure the Centre’s progress against its results framework.</w:t>
      </w:r>
    </w:p>
    <w:p w14:paraId="4A7E940A" w14:textId="77777777" w:rsidR="00D45029" w:rsidRDefault="00D45029" w:rsidP="00D45029">
      <w:pPr>
        <w:numPr>
          <w:ilvl w:val="0"/>
          <w:numId w:val="19"/>
        </w:numPr>
        <w:spacing w:line="276" w:lineRule="auto"/>
      </w:pPr>
      <w:r>
        <w:t>Inform the decision on the Centre’s existence beyond the initial three-year period.</w:t>
      </w:r>
    </w:p>
    <w:p w14:paraId="75021800" w14:textId="77777777" w:rsidR="00D45029" w:rsidRDefault="00D45029" w:rsidP="00D45029">
      <w:pPr>
        <w:numPr>
          <w:ilvl w:val="0"/>
          <w:numId w:val="19"/>
        </w:numPr>
        <w:spacing w:line="276" w:lineRule="auto"/>
      </w:pPr>
      <w:r>
        <w:t>Recommend changes to the Centre based on stakeholder and partner feedback, demand and market size.</w:t>
      </w:r>
    </w:p>
    <w:p w14:paraId="6C5FA611" w14:textId="77777777" w:rsidR="00D45029" w:rsidRDefault="00D45029" w:rsidP="00D45029">
      <w:r>
        <w:t xml:space="preserve"> </w:t>
      </w:r>
    </w:p>
    <w:p w14:paraId="2C72D3F0" w14:textId="55A433BF" w:rsidR="00D45029" w:rsidRDefault="00D45029" w:rsidP="00D45029">
      <w:pPr>
        <w:jc w:val="both"/>
      </w:pPr>
      <w:r>
        <w:t>The evaluation team should undertake the following activities:</w:t>
      </w:r>
    </w:p>
    <w:p w14:paraId="1761F909" w14:textId="77777777" w:rsidR="00D45029" w:rsidRDefault="00D45029" w:rsidP="00D45029">
      <w:pPr>
        <w:jc w:val="both"/>
      </w:pPr>
    </w:p>
    <w:p w14:paraId="4C39581B" w14:textId="77777777" w:rsidR="00D45029" w:rsidRDefault="00D45029" w:rsidP="00D45029">
      <w:pPr>
        <w:numPr>
          <w:ilvl w:val="0"/>
          <w:numId w:val="18"/>
        </w:numPr>
        <w:spacing w:line="276" w:lineRule="auto"/>
      </w:pPr>
      <w:r>
        <w:t>Measure the Centre’s progress against its three outcome indicators (speed of data, network partnerships, and use of data), based on the research undertaken by the Overseas Development Institute in early 2018.</w:t>
      </w:r>
    </w:p>
    <w:p w14:paraId="4EF5ED4F" w14:textId="77777777" w:rsidR="00D45029" w:rsidRDefault="00D45029" w:rsidP="00D45029">
      <w:pPr>
        <w:numPr>
          <w:ilvl w:val="0"/>
          <w:numId w:val="18"/>
        </w:numPr>
        <w:spacing w:line="276" w:lineRule="auto"/>
      </w:pPr>
      <w:r>
        <w:t>Assess key stakeholder satisfaction with the service offering and added value of the Centre.</w:t>
      </w:r>
    </w:p>
    <w:p w14:paraId="4B9DBFF2" w14:textId="77777777" w:rsidR="00D45029" w:rsidRDefault="00D45029" w:rsidP="00D45029">
      <w:pPr>
        <w:numPr>
          <w:ilvl w:val="0"/>
          <w:numId w:val="18"/>
        </w:numPr>
        <w:spacing w:line="276" w:lineRule="auto"/>
      </w:pPr>
      <w:r>
        <w:t>Review the ecosystem of data and innovation initiatives and the Centre’s place within it to understand areas of potential overlap or opportunities for increased collaboration, building on the feasibility study undertaken by Dalberg in 2016.</w:t>
      </w:r>
    </w:p>
    <w:p w14:paraId="7DD9955B" w14:textId="77777777" w:rsidR="00D45029" w:rsidRDefault="00D45029" w:rsidP="00D45029">
      <w:r>
        <w:t xml:space="preserve"> </w:t>
      </w:r>
    </w:p>
    <w:p w14:paraId="0D979939" w14:textId="77777777" w:rsidR="00497F2C" w:rsidRDefault="00497F2C" w:rsidP="00DE5D8E">
      <w:pPr>
        <w:jc w:val="both"/>
      </w:pPr>
    </w:p>
    <w:p w14:paraId="0BDDE94A" w14:textId="6C118463" w:rsidR="00497F2C" w:rsidRDefault="00E62640" w:rsidP="00497F2C">
      <w:pPr>
        <w:jc w:val="both"/>
        <w:rPr>
          <w:b/>
        </w:rPr>
      </w:pPr>
      <w:r>
        <w:rPr>
          <w:b/>
        </w:rPr>
        <w:t xml:space="preserve">UNOPS </w:t>
      </w:r>
      <w:r w:rsidR="00497F2C" w:rsidRPr="00497F2C">
        <w:rPr>
          <w:b/>
        </w:rPr>
        <w:t xml:space="preserve">is inviting companies </w:t>
      </w:r>
      <w:r w:rsidR="00DE5D8E" w:rsidRPr="00497F2C">
        <w:rPr>
          <w:b/>
        </w:rPr>
        <w:t>to submit quotations for the supply of:</w:t>
      </w:r>
    </w:p>
    <w:p w14:paraId="5B4B7D98" w14:textId="77777777" w:rsidR="00497F2C" w:rsidRPr="00497F2C" w:rsidRDefault="00497F2C" w:rsidP="00497F2C">
      <w:pPr>
        <w:jc w:val="both"/>
        <w:rPr>
          <w:b/>
        </w:rPr>
      </w:pPr>
    </w:p>
    <w:p w14:paraId="1DA8FF81" w14:textId="490A71C7" w:rsidR="00D45029" w:rsidRDefault="00D45029" w:rsidP="00D45029">
      <w:r>
        <w:t>Deliverables:</w:t>
      </w:r>
    </w:p>
    <w:p w14:paraId="30BBB46A" w14:textId="77777777" w:rsidR="00D45029" w:rsidRDefault="00D45029" w:rsidP="00D45029"/>
    <w:p w14:paraId="775EB4ED" w14:textId="77777777" w:rsidR="00D45029" w:rsidRDefault="00D45029" w:rsidP="00D45029">
      <w:pPr>
        <w:numPr>
          <w:ilvl w:val="0"/>
          <w:numId w:val="23"/>
        </w:numPr>
        <w:spacing w:line="276" w:lineRule="auto"/>
      </w:pPr>
      <w:r>
        <w:t>Evaluation plan including timeline, methodology, key questions, stakeholders to interview, and approach of the final report.</w:t>
      </w:r>
    </w:p>
    <w:p w14:paraId="074FE9BA" w14:textId="77777777" w:rsidR="00D45029" w:rsidRDefault="00D45029" w:rsidP="00D45029">
      <w:pPr>
        <w:numPr>
          <w:ilvl w:val="0"/>
          <w:numId w:val="23"/>
        </w:numPr>
        <w:spacing w:line="276" w:lineRule="auto"/>
      </w:pPr>
      <w:r>
        <w:t>Presentation of preliminary findings and insights to the Centre Lead and relevant staff and stakeholders for feedback.</w:t>
      </w:r>
    </w:p>
    <w:p w14:paraId="1FC64157" w14:textId="77777777" w:rsidR="00D45029" w:rsidRDefault="00D45029" w:rsidP="00D45029">
      <w:pPr>
        <w:numPr>
          <w:ilvl w:val="0"/>
          <w:numId w:val="23"/>
        </w:numPr>
        <w:spacing w:line="276" w:lineRule="auto"/>
      </w:pPr>
      <w:r>
        <w:t>Final report that includes findings of the evaluation and recommendations.</w:t>
      </w:r>
    </w:p>
    <w:p w14:paraId="13C565FF" w14:textId="77777777" w:rsidR="00D45029" w:rsidRDefault="00D45029" w:rsidP="00D45029">
      <w:r>
        <w:t xml:space="preserve"> </w:t>
      </w:r>
    </w:p>
    <w:p w14:paraId="16E6B4BE" w14:textId="62E972FE" w:rsidR="00D45029" w:rsidRDefault="00D45029" w:rsidP="00D45029">
      <w:r>
        <w:t>The activities and deliverables should be conducted in three phases:</w:t>
      </w:r>
    </w:p>
    <w:p w14:paraId="30ED5F47" w14:textId="77777777" w:rsidR="00D45029" w:rsidRDefault="00D45029" w:rsidP="00D45029"/>
    <w:p w14:paraId="2BB08CFB" w14:textId="4F3AA2CA" w:rsidR="00D45029" w:rsidRDefault="00D45029" w:rsidP="00D45029">
      <w:pPr>
        <w:rPr>
          <w:u w:val="single"/>
        </w:rPr>
      </w:pPr>
      <w:r>
        <w:rPr>
          <w:u w:val="single"/>
        </w:rPr>
        <w:t>Phase 1:</w:t>
      </w:r>
    </w:p>
    <w:p w14:paraId="1783F794" w14:textId="77777777" w:rsidR="00D45029" w:rsidRDefault="00D45029" w:rsidP="00D45029">
      <w:pPr>
        <w:rPr>
          <w:u w:val="single"/>
        </w:rPr>
      </w:pPr>
    </w:p>
    <w:p w14:paraId="2F1D3640" w14:textId="55FE9518" w:rsidR="00D45029" w:rsidRDefault="00D45029" w:rsidP="00591E5D">
      <w:pPr>
        <w:pStyle w:val="ListParagraph"/>
        <w:numPr>
          <w:ilvl w:val="0"/>
          <w:numId w:val="28"/>
        </w:numPr>
      </w:pPr>
      <w:r>
        <w:t>Read background material and conduct initial interviews with staff and stakeholders.</w:t>
      </w:r>
    </w:p>
    <w:p w14:paraId="0EB71084" w14:textId="72480267" w:rsidR="00D45029" w:rsidRDefault="00D45029" w:rsidP="00591E5D">
      <w:pPr>
        <w:pStyle w:val="ListParagraph"/>
        <w:numPr>
          <w:ilvl w:val="0"/>
          <w:numId w:val="28"/>
        </w:numPr>
      </w:pPr>
      <w:r>
        <w:t>Finalize approach to evaluation.</w:t>
      </w:r>
    </w:p>
    <w:p w14:paraId="20015493" w14:textId="307D67E6" w:rsidR="00D45029" w:rsidRDefault="00D45029" w:rsidP="00591E5D">
      <w:pPr>
        <w:pStyle w:val="ListParagraph"/>
        <w:numPr>
          <w:ilvl w:val="0"/>
          <w:numId w:val="28"/>
        </w:numPr>
      </w:pPr>
      <w:r>
        <w:t>Develop evaluation plan, including timeline, methodology, key questions, stakeholder list, and                                             contents of final report.</w:t>
      </w:r>
    </w:p>
    <w:p w14:paraId="6E163CDA" w14:textId="77777777" w:rsidR="00D45029" w:rsidRDefault="00D45029" w:rsidP="00D45029">
      <w:pPr>
        <w:rPr>
          <w:u w:val="single"/>
        </w:rPr>
      </w:pPr>
    </w:p>
    <w:p w14:paraId="662972E6" w14:textId="32B29DE3" w:rsidR="00D45029" w:rsidRDefault="00D45029" w:rsidP="00D45029">
      <w:pPr>
        <w:rPr>
          <w:u w:val="single"/>
        </w:rPr>
      </w:pPr>
      <w:r>
        <w:rPr>
          <w:u w:val="single"/>
        </w:rPr>
        <w:t>Phase 2:</w:t>
      </w:r>
    </w:p>
    <w:p w14:paraId="095FEC67" w14:textId="77777777" w:rsidR="00D45029" w:rsidRDefault="00D45029" w:rsidP="00D45029">
      <w:pPr>
        <w:rPr>
          <w:u w:val="single"/>
        </w:rPr>
      </w:pPr>
    </w:p>
    <w:p w14:paraId="5F29DD8F" w14:textId="6F9305F1" w:rsidR="00D45029" w:rsidRDefault="00D45029" w:rsidP="00591E5D">
      <w:pPr>
        <w:pStyle w:val="ListParagraph"/>
        <w:numPr>
          <w:ilvl w:val="0"/>
          <w:numId w:val="29"/>
        </w:numPr>
      </w:pPr>
      <w:r>
        <w:t>Conduct evaluation</w:t>
      </w:r>
    </w:p>
    <w:p w14:paraId="6425A864" w14:textId="3B592D37" w:rsidR="00D45029" w:rsidRDefault="00D45029" w:rsidP="00591E5D">
      <w:pPr>
        <w:pStyle w:val="ListParagraph"/>
        <w:numPr>
          <w:ilvl w:val="0"/>
          <w:numId w:val="29"/>
        </w:numPr>
      </w:pPr>
      <w:r>
        <w:t>Present preliminary findings and gather feedback from Centre staff and stakeholders</w:t>
      </w:r>
    </w:p>
    <w:p w14:paraId="13B9DE52" w14:textId="77777777" w:rsidR="00D45029" w:rsidRDefault="00D45029" w:rsidP="00D45029">
      <w:pPr>
        <w:rPr>
          <w:u w:val="single"/>
        </w:rPr>
      </w:pPr>
    </w:p>
    <w:p w14:paraId="5C92A908" w14:textId="1FEC7E15" w:rsidR="00D45029" w:rsidRDefault="00D45029" w:rsidP="00D45029">
      <w:pPr>
        <w:rPr>
          <w:u w:val="single"/>
        </w:rPr>
      </w:pPr>
      <w:r>
        <w:rPr>
          <w:u w:val="single"/>
        </w:rPr>
        <w:t>Phase 3:</w:t>
      </w:r>
    </w:p>
    <w:p w14:paraId="7B027D33" w14:textId="77777777" w:rsidR="00591E5D" w:rsidRDefault="00591E5D" w:rsidP="00591E5D">
      <w:pPr>
        <w:rPr>
          <w:u w:val="single"/>
        </w:rPr>
      </w:pPr>
    </w:p>
    <w:p w14:paraId="016B8F6C" w14:textId="5DC57410" w:rsidR="00D45029" w:rsidRDefault="00D45029" w:rsidP="00591E5D">
      <w:pPr>
        <w:pStyle w:val="ListParagraph"/>
        <w:numPr>
          <w:ilvl w:val="0"/>
          <w:numId w:val="30"/>
        </w:numPr>
      </w:pPr>
      <w:r>
        <w:t>Deliver final report with findings and recommendations.</w:t>
      </w:r>
    </w:p>
    <w:p w14:paraId="1669CAD9" w14:textId="77777777" w:rsidR="00D45029" w:rsidRDefault="00D45029" w:rsidP="00D45029">
      <w:r>
        <w:t xml:space="preserve"> </w:t>
      </w:r>
    </w:p>
    <w:p w14:paraId="7397AB8A" w14:textId="31CF32C3" w:rsidR="00D45029" w:rsidRDefault="00D45029" w:rsidP="00D45029">
      <w:pPr>
        <w:rPr>
          <w:b/>
        </w:rPr>
      </w:pPr>
      <w:r>
        <w:rPr>
          <w:b/>
        </w:rPr>
        <w:lastRenderedPageBreak/>
        <w:t>Requirements</w:t>
      </w:r>
    </w:p>
    <w:p w14:paraId="74DB3855" w14:textId="77777777" w:rsidR="00D45029" w:rsidRDefault="00D45029" w:rsidP="00D45029"/>
    <w:p w14:paraId="1C9CC821" w14:textId="07F35757" w:rsidR="00D45029" w:rsidRDefault="00D45029" w:rsidP="00D45029">
      <w:r>
        <w:t>The team should include at least two people:</w:t>
      </w:r>
    </w:p>
    <w:p w14:paraId="1D6A68F1" w14:textId="77777777" w:rsidR="00D45029" w:rsidRDefault="00D45029" w:rsidP="00D45029"/>
    <w:p w14:paraId="45B666F1" w14:textId="77777777" w:rsidR="00D45029" w:rsidRDefault="00D45029" w:rsidP="00D45029">
      <w:pPr>
        <w:numPr>
          <w:ilvl w:val="0"/>
          <w:numId w:val="24"/>
        </w:numPr>
        <w:spacing w:line="276" w:lineRule="auto"/>
      </w:pPr>
      <w:r>
        <w:t>A senior evaluator with experience in assessing innovation initiatives in the humanitarian sector.</w:t>
      </w:r>
    </w:p>
    <w:p w14:paraId="0197F3F0" w14:textId="77777777" w:rsidR="00D45029" w:rsidRDefault="00D45029" w:rsidP="00D45029">
      <w:pPr>
        <w:numPr>
          <w:ilvl w:val="0"/>
          <w:numId w:val="24"/>
        </w:numPr>
        <w:spacing w:line="276" w:lineRule="auto"/>
      </w:pPr>
      <w:r>
        <w:t>A researcher to support the evaluation process.</w:t>
      </w:r>
    </w:p>
    <w:p w14:paraId="3D75DD22" w14:textId="77777777" w:rsidR="00D45029" w:rsidRDefault="00D45029" w:rsidP="00D45029">
      <w:pPr>
        <w:ind w:left="720"/>
      </w:pPr>
    </w:p>
    <w:p w14:paraId="6DB13BDD" w14:textId="4F5C4503" w:rsidR="00D45029" w:rsidRPr="00D45029" w:rsidRDefault="00D45029" w:rsidP="00D45029">
      <w:pPr>
        <w:rPr>
          <w:b/>
        </w:rPr>
      </w:pPr>
      <w:r w:rsidRPr="00D45029">
        <w:rPr>
          <w:b/>
        </w:rPr>
        <w:t xml:space="preserve">Education and Work Experience </w:t>
      </w:r>
    </w:p>
    <w:p w14:paraId="21D07529" w14:textId="77777777" w:rsidR="00D45029" w:rsidRDefault="00D45029" w:rsidP="00D45029"/>
    <w:p w14:paraId="435282C6" w14:textId="77777777" w:rsidR="00D45029" w:rsidRDefault="00D45029" w:rsidP="00D45029">
      <w:r>
        <w:t>The senior researcher should have seven years of experience in research and an advanced university degree (Master's degree or equivalent work experience) in political science, social science, public administration, international studies, business, or a related field, is required. A first-level university degree in combination with qualifying experience may be accepted in lieu of the advanced university degree.</w:t>
      </w:r>
    </w:p>
    <w:p w14:paraId="4F6FB893" w14:textId="77777777" w:rsidR="00D45029" w:rsidRDefault="00D45029" w:rsidP="00D45029"/>
    <w:p w14:paraId="0C08C6A8" w14:textId="77777777" w:rsidR="00D45029" w:rsidRDefault="00D45029" w:rsidP="00D45029">
      <w:r>
        <w:t>The researcher should have five years of experience in research and an advanced university degree (Master's degree or equivalent work experience) in political science, social science, public administration, international studies, business, or a related field, is required. A first-level university degree in combination with qualifying experience may be accepted in lieu of the advanced university degree.</w:t>
      </w:r>
    </w:p>
    <w:p w14:paraId="47B9DA0C" w14:textId="77777777" w:rsidR="00D45029" w:rsidRDefault="00D45029" w:rsidP="00D45029"/>
    <w:p w14:paraId="3FEECEFC" w14:textId="5D25DE07" w:rsidR="00D45029" w:rsidRDefault="00D45029" w:rsidP="00D45029">
      <w:r>
        <w:t xml:space="preserve">Other skills </w:t>
      </w:r>
    </w:p>
    <w:p w14:paraId="10C39C92" w14:textId="77777777" w:rsidR="00D45029" w:rsidRDefault="00D45029" w:rsidP="00D45029"/>
    <w:p w14:paraId="47875E1B" w14:textId="77777777" w:rsidR="00D45029" w:rsidRDefault="00D45029" w:rsidP="00D45029">
      <w:pPr>
        <w:numPr>
          <w:ilvl w:val="0"/>
          <w:numId w:val="25"/>
        </w:numPr>
        <w:spacing w:line="276" w:lineRule="auto"/>
      </w:pPr>
      <w:r>
        <w:t xml:space="preserve">Prior experience in undertaking evaluations of humanitarian organizations. </w:t>
      </w:r>
    </w:p>
    <w:p w14:paraId="2F32135E" w14:textId="77777777" w:rsidR="00D45029" w:rsidRDefault="00D45029" w:rsidP="00D45029">
      <w:pPr>
        <w:numPr>
          <w:ilvl w:val="0"/>
          <w:numId w:val="25"/>
        </w:numPr>
        <w:spacing w:line="276" w:lineRule="auto"/>
      </w:pPr>
      <w:r>
        <w:t>Previous experience in report writing.</w:t>
      </w:r>
    </w:p>
    <w:p w14:paraId="2F1DC3A8" w14:textId="77777777" w:rsidR="00D45029" w:rsidRDefault="00D45029" w:rsidP="00D45029">
      <w:pPr>
        <w:numPr>
          <w:ilvl w:val="0"/>
          <w:numId w:val="25"/>
        </w:numPr>
        <w:spacing w:line="276" w:lineRule="auto"/>
      </w:pPr>
      <w:r>
        <w:t>Proven experience in developing methods of inquiry and assessment such as surveys and interview questions.</w:t>
      </w:r>
    </w:p>
    <w:p w14:paraId="23E7DAF3" w14:textId="77777777" w:rsidR="00D45029" w:rsidRDefault="00D45029" w:rsidP="00D45029">
      <w:pPr>
        <w:numPr>
          <w:ilvl w:val="0"/>
          <w:numId w:val="25"/>
        </w:numPr>
        <w:spacing w:line="276" w:lineRule="auto"/>
      </w:pPr>
      <w:r>
        <w:t xml:space="preserve">Experience with network analysis. </w:t>
      </w:r>
    </w:p>
    <w:p w14:paraId="10C76ABB" w14:textId="77777777" w:rsidR="00D45029" w:rsidRDefault="00D45029" w:rsidP="00D45029">
      <w:r>
        <w:t xml:space="preserve">  </w:t>
      </w:r>
    </w:p>
    <w:p w14:paraId="4D56423A" w14:textId="4DEF0F2F" w:rsidR="00D45029" w:rsidRDefault="00D45029" w:rsidP="00D45029">
      <w:pPr>
        <w:rPr>
          <w:b/>
        </w:rPr>
      </w:pPr>
      <w:r>
        <w:rPr>
          <w:b/>
        </w:rPr>
        <w:t>Contract Duration</w:t>
      </w:r>
    </w:p>
    <w:p w14:paraId="672668EB" w14:textId="77777777" w:rsidR="00D45029" w:rsidRDefault="00D45029" w:rsidP="00D45029">
      <w:pPr>
        <w:rPr>
          <w:b/>
        </w:rPr>
      </w:pPr>
    </w:p>
    <w:p w14:paraId="0137910D" w14:textId="752FBB00" w:rsidR="00D45029" w:rsidRDefault="00D45029" w:rsidP="00D45029">
      <w:r>
        <w:t>It is anticipated that the project will run over a 14-week period. The estimated timeline is:</w:t>
      </w:r>
    </w:p>
    <w:p w14:paraId="4325DB0C" w14:textId="77777777" w:rsidR="00D45029" w:rsidRDefault="00D45029" w:rsidP="00D45029"/>
    <w:p w14:paraId="4BC45B5D" w14:textId="77777777" w:rsidR="00D45029" w:rsidRDefault="00D45029" w:rsidP="00D45029">
      <w:pPr>
        <w:numPr>
          <w:ilvl w:val="0"/>
          <w:numId w:val="22"/>
        </w:numPr>
        <w:spacing w:line="276" w:lineRule="auto"/>
      </w:pPr>
      <w:r>
        <w:t>15 – 30 June 2019: Phase 1</w:t>
      </w:r>
    </w:p>
    <w:p w14:paraId="46F1EF1B" w14:textId="77777777" w:rsidR="00D45029" w:rsidRDefault="00D45029" w:rsidP="00D45029">
      <w:pPr>
        <w:numPr>
          <w:ilvl w:val="0"/>
          <w:numId w:val="22"/>
        </w:numPr>
        <w:spacing w:line="276" w:lineRule="auto"/>
      </w:pPr>
      <w:r>
        <w:t>1 July – 31 August 2019: Phase 2</w:t>
      </w:r>
    </w:p>
    <w:p w14:paraId="4A6EA876" w14:textId="77777777" w:rsidR="00D45029" w:rsidRDefault="00D45029" w:rsidP="00D45029">
      <w:pPr>
        <w:numPr>
          <w:ilvl w:val="0"/>
          <w:numId w:val="22"/>
        </w:numPr>
        <w:spacing w:line="276" w:lineRule="auto"/>
      </w:pPr>
      <w:r>
        <w:t>1 – 30 September 2019:  Phase 3</w:t>
      </w:r>
    </w:p>
    <w:p w14:paraId="1241A5EA" w14:textId="77777777" w:rsidR="00D45029" w:rsidRDefault="00D45029" w:rsidP="00D45029">
      <w:r>
        <w:t xml:space="preserve"> </w:t>
      </w:r>
    </w:p>
    <w:p w14:paraId="7B86BCD3" w14:textId="77777777" w:rsidR="00D45029" w:rsidRDefault="00D45029" w:rsidP="00D45029"/>
    <w:p w14:paraId="7B06DB0B" w14:textId="77777777" w:rsidR="00D45029" w:rsidRDefault="00D45029" w:rsidP="00D45029"/>
    <w:p w14:paraId="510E2084" w14:textId="77777777" w:rsidR="00D45029" w:rsidRDefault="00D45029" w:rsidP="00D45029"/>
    <w:p w14:paraId="26025AF8" w14:textId="77777777" w:rsidR="00D45029" w:rsidRDefault="00D45029" w:rsidP="00D45029"/>
    <w:p w14:paraId="78B11258" w14:textId="77777777" w:rsidR="00A557FA" w:rsidRDefault="00A557FA" w:rsidP="00AC377F"/>
    <w:p w14:paraId="3C19C376" w14:textId="77777777" w:rsidR="00A557FA" w:rsidRPr="00A557FA" w:rsidRDefault="00A557FA" w:rsidP="00A557FA">
      <w:pPr>
        <w:rPr>
          <w:rFonts w:ascii="Times New Roman" w:hAnsi="Times New Roman" w:cs="Times New Roman"/>
          <w:sz w:val="24"/>
          <w:szCs w:val="24"/>
        </w:rPr>
      </w:pPr>
    </w:p>
    <w:p w14:paraId="7CDD4C12" w14:textId="77777777" w:rsidR="00A557FA" w:rsidRPr="00527B3F" w:rsidRDefault="00A557FA" w:rsidP="00AC377F"/>
    <w:sectPr w:rsidR="00A557FA" w:rsidRPr="00527B3F" w:rsidSect="00AC377F">
      <w:headerReference w:type="even" r:id="rId12"/>
      <w:headerReference w:type="default" r:id="rId13"/>
      <w:footerReference w:type="default" r:id="rId14"/>
      <w:headerReference w:type="first" r:id="rId15"/>
      <w:pgSz w:w="11906" w:h="16838" w:code="9"/>
      <w:pgMar w:top="429" w:right="851" w:bottom="851" w:left="1418" w:header="851"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06238" w14:textId="77777777" w:rsidR="0038664A" w:rsidRDefault="0038664A" w:rsidP="00BA5DE0">
      <w:r>
        <w:separator/>
      </w:r>
    </w:p>
  </w:endnote>
  <w:endnote w:type="continuationSeparator" w:id="0">
    <w:p w14:paraId="0AE38BE2" w14:textId="77777777" w:rsidR="0038664A" w:rsidRDefault="0038664A" w:rsidP="00BA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panose1 w:val="020B0604020202020204"/>
    <w:charset w:val="00"/>
    <w:family w:val="swiss"/>
    <w:pitch w:val="variable"/>
    <w:sig w:usb0="E00002EF" w:usb1="4000205B" w:usb2="00000028"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458974"/>
      <w:docPartObj>
        <w:docPartGallery w:val="Page Numbers (Bottom of Page)"/>
        <w:docPartUnique/>
      </w:docPartObj>
    </w:sdtPr>
    <w:sdtEndPr/>
    <w:sdtContent>
      <w:sdt>
        <w:sdtPr>
          <w:id w:val="860082579"/>
          <w:docPartObj>
            <w:docPartGallery w:val="Page Numbers (Top of Page)"/>
            <w:docPartUnique/>
          </w:docPartObj>
        </w:sdtPr>
        <w:sdtEndPr/>
        <w:sdtContent>
          <w:p w14:paraId="2D61ED78" w14:textId="02EC8BC6" w:rsidR="00AC377F" w:rsidRDefault="00AC37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4EE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4EEA">
              <w:rPr>
                <w:b/>
                <w:bCs/>
                <w:noProof/>
              </w:rPr>
              <w:t>3</w:t>
            </w:r>
            <w:r>
              <w:rPr>
                <w:b/>
                <w:bCs/>
                <w:sz w:val="24"/>
                <w:szCs w:val="24"/>
              </w:rPr>
              <w:fldChar w:fldCharType="end"/>
            </w:r>
          </w:p>
        </w:sdtContent>
      </w:sdt>
    </w:sdtContent>
  </w:sdt>
  <w:p w14:paraId="20DFDCFA" w14:textId="77777777" w:rsidR="00FE0B65" w:rsidRPr="0019510F" w:rsidRDefault="00FE0B65" w:rsidP="00BA5DE0">
    <w:pP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1EB9D" w14:textId="77777777" w:rsidR="0038664A" w:rsidRDefault="0038664A" w:rsidP="00BA5DE0">
      <w:r>
        <w:separator/>
      </w:r>
    </w:p>
  </w:footnote>
  <w:footnote w:type="continuationSeparator" w:id="0">
    <w:p w14:paraId="7D780FB7" w14:textId="77777777" w:rsidR="0038664A" w:rsidRDefault="0038664A" w:rsidP="00BA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5F2C" w14:textId="77777777" w:rsidR="00DB14E7" w:rsidRDefault="0038664A" w:rsidP="00BA5DE0">
    <w:r>
      <w:rPr>
        <w:noProof/>
      </w:rPr>
      <w:pict w14:anchorId="19245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74477" o:spid="_x0000_s2050" type="#_x0000_t75" alt="Blue_fold_fill_RGB" style="position:absolute;margin-left:0;margin-top:0;width:368.3pt;height:441pt;z-index:-251651072;mso-wrap-edited:f;mso-width-percent:0;mso-height-percent:0;mso-position-horizontal:center;mso-position-horizontal-relative:margin;mso-position-vertical:center;mso-position-vertical-relative:margin;mso-width-percent:0;mso-height-percent:0" o:allowincell="f">
          <v:imagedata r:id="rId1" o:title="Blue_fold_fill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F510" w14:textId="77777777" w:rsidR="00D76EDA" w:rsidRDefault="00D351A3" w:rsidP="00D76EDA">
    <w:r>
      <w:rPr>
        <w:noProof/>
        <w:lang w:val="en-US" w:eastAsia="en-US"/>
      </w:rPr>
      <w:drawing>
        <wp:inline distT="0" distB="0" distL="0" distR="0" wp14:anchorId="54217A4C" wp14:editId="235DA33B">
          <wp:extent cx="1440000" cy="21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PS_logo_2016.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214605"/>
                  </a:xfrm>
                  <a:prstGeom prst="rect">
                    <a:avLst/>
                  </a:prstGeom>
                </pic:spPr>
              </pic:pic>
            </a:graphicData>
          </a:graphic>
        </wp:inline>
      </w:drawing>
    </w:r>
    <w:r w:rsidR="00D76EDA" w:rsidRPr="00D76EDA">
      <w:t xml:space="preserve"> </w:t>
    </w:r>
  </w:p>
  <w:tbl>
    <w:tblPr>
      <w:tblStyle w:val="TableGrid"/>
      <w:tblW w:w="9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4"/>
    </w:tblGrid>
    <w:tr w:rsidR="00D76EDA" w:rsidRPr="00A06E0C" w14:paraId="4B1B840D" w14:textId="77777777" w:rsidTr="00446BFC">
      <w:trPr>
        <w:trHeight w:val="186"/>
      </w:trPr>
      <w:tc>
        <w:tcPr>
          <w:tcW w:w="9964" w:type="dxa"/>
        </w:tcPr>
        <w:p w14:paraId="1C322754" w14:textId="31E68A82" w:rsidR="00D76EDA" w:rsidRPr="00A06E0C" w:rsidRDefault="00D76EDA" w:rsidP="00446BFC">
          <w:pPr>
            <w:pStyle w:val="Footer"/>
            <w:jc w:val="right"/>
            <w:rPr>
              <w:sz w:val="18"/>
              <w:szCs w:val="18"/>
            </w:rPr>
          </w:pPr>
          <w:r w:rsidRPr="00A06E0C">
            <w:rPr>
              <w:sz w:val="18"/>
              <w:szCs w:val="18"/>
            </w:rPr>
            <w:t xml:space="preserve">RFQ </w:t>
          </w:r>
          <w:r w:rsidRPr="003A28F6">
            <w:rPr>
              <w:sz w:val="18"/>
              <w:szCs w:val="18"/>
            </w:rPr>
            <w:t xml:space="preserve">Ref No: </w:t>
          </w:r>
          <w:r w:rsidR="003A28F6" w:rsidRPr="003A28F6">
            <w:rPr>
              <w:sz w:val="18"/>
              <w:szCs w:val="18"/>
            </w:rPr>
            <w:t>RFQ/</w:t>
          </w:r>
          <w:r w:rsidR="00D45029">
            <w:rPr>
              <w:sz w:val="18"/>
              <w:szCs w:val="18"/>
            </w:rPr>
            <w:t>2019/9887</w:t>
          </w:r>
        </w:p>
      </w:tc>
    </w:tr>
  </w:tbl>
  <w:p w14:paraId="79A5CBF3" w14:textId="77777777" w:rsidR="00FF507E" w:rsidRPr="00CD1AA6" w:rsidRDefault="00FF507E" w:rsidP="00D76EDA">
    <w:pPr>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5481" w14:textId="77777777" w:rsidR="00DB14E7" w:rsidRDefault="0038664A" w:rsidP="00BA5DE0">
    <w:r>
      <w:rPr>
        <w:noProof/>
      </w:rPr>
      <w:pict w14:anchorId="5A4BD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74476" o:spid="_x0000_s2049" type="#_x0000_t75" alt="Blue_fold_fill_RGB" style="position:absolute;margin-left:0;margin-top:0;width:368.3pt;height:441pt;z-index:-251652096;mso-wrap-edited:f;mso-width-percent:0;mso-height-percent:0;mso-position-horizontal:center;mso-position-horizontal-relative:margin;mso-position-vertical:center;mso-position-vertical-relative:margin;mso-width-percent:0;mso-height-percent:0" o:allowincell="f">
          <v:imagedata r:id="rId1" o:title="Blue_fold_fill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C1A"/>
    <w:multiLevelType w:val="hybridMultilevel"/>
    <w:tmpl w:val="D298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63A0F"/>
    <w:multiLevelType w:val="hybridMultilevel"/>
    <w:tmpl w:val="31AC0E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55056"/>
    <w:multiLevelType w:val="hybridMultilevel"/>
    <w:tmpl w:val="8E04A81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 w15:restartNumberingAfterBreak="0">
    <w:nsid w:val="0DB62BAF"/>
    <w:multiLevelType w:val="hybridMultilevel"/>
    <w:tmpl w:val="CAB6427A"/>
    <w:lvl w:ilvl="0" w:tplc="FA4CE8A2">
      <w:start w:val="1"/>
      <w:numFmt w:val="lowerRoman"/>
      <w:lvlText w:val="(%1)"/>
      <w:lvlJc w:val="left"/>
      <w:pPr>
        <w:ind w:left="1429" w:hanging="360"/>
      </w:pPr>
      <w:rPr>
        <w:rFonts w:ascii="Arial" w:eastAsia="Times New Roman" w:hAnsi="Arial" w:cs="Arial" w:hint="default"/>
      </w:rPr>
    </w:lvl>
    <w:lvl w:ilvl="1" w:tplc="08090001">
      <w:start w:val="1"/>
      <w:numFmt w:val="bullet"/>
      <w:lvlText w:val=""/>
      <w:lvlJc w:val="left"/>
      <w:pPr>
        <w:ind w:left="2149" w:hanging="360"/>
      </w:pPr>
      <w:rPr>
        <w:rFonts w:ascii="Symbol" w:hAnsi="Symbol"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4F11E6F"/>
    <w:multiLevelType w:val="multilevel"/>
    <w:tmpl w:val="A5449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9E64CA"/>
    <w:multiLevelType w:val="multilevel"/>
    <w:tmpl w:val="D700D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A22358"/>
    <w:multiLevelType w:val="multilevel"/>
    <w:tmpl w:val="41364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DB26D2"/>
    <w:multiLevelType w:val="multilevel"/>
    <w:tmpl w:val="23A85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2345FDA"/>
    <w:multiLevelType w:val="multilevel"/>
    <w:tmpl w:val="03A8B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B40945"/>
    <w:multiLevelType w:val="hybridMultilevel"/>
    <w:tmpl w:val="83F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73A65"/>
    <w:multiLevelType w:val="hybridMultilevel"/>
    <w:tmpl w:val="936AD8AE"/>
    <w:lvl w:ilvl="0" w:tplc="08090015">
      <w:start w:val="1"/>
      <w:numFmt w:val="upperLetter"/>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D448E0"/>
    <w:multiLevelType w:val="hybridMultilevel"/>
    <w:tmpl w:val="120E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66D75"/>
    <w:multiLevelType w:val="multilevel"/>
    <w:tmpl w:val="A232C7C4"/>
    <w:lvl w:ilvl="0">
      <w:start w:val="1"/>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720" w:hanging="360"/>
      </w:pPr>
      <w:rPr>
        <w:rFonts w:hint="default"/>
      </w:rPr>
    </w:lvl>
    <w:lvl w:ilvl="2">
      <w:start w:val="1"/>
      <w:numFmt w:val="lowerRoman"/>
      <w:isLgl/>
      <w:lvlText w:val="(%3)"/>
      <w:lvlJc w:val="left"/>
      <w:pPr>
        <w:ind w:left="1080" w:hanging="720"/>
      </w:pPr>
      <w:rPr>
        <w:rFonts w:ascii="Arial" w:eastAsia="Calibri"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2F1C5F"/>
    <w:multiLevelType w:val="hybridMultilevel"/>
    <w:tmpl w:val="1974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E3687"/>
    <w:multiLevelType w:val="hybridMultilevel"/>
    <w:tmpl w:val="45E86AE2"/>
    <w:lvl w:ilvl="0" w:tplc="0809000F">
      <w:start w:val="1"/>
      <w:numFmt w:val="decimal"/>
      <w:lvlText w:val="%1."/>
      <w:lvlJc w:val="left"/>
      <w:pPr>
        <w:ind w:left="838" w:hanging="360"/>
      </w:pPr>
      <w:rPr>
        <w:rFonts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5" w15:restartNumberingAfterBreak="0">
    <w:nsid w:val="3D4B396D"/>
    <w:multiLevelType w:val="hybridMultilevel"/>
    <w:tmpl w:val="A0C8C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7C568B"/>
    <w:multiLevelType w:val="hybridMultilevel"/>
    <w:tmpl w:val="BD26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951F2"/>
    <w:multiLevelType w:val="hybridMultilevel"/>
    <w:tmpl w:val="6D8E74A8"/>
    <w:lvl w:ilvl="0" w:tplc="5CAE046E">
      <w:start w:val="1"/>
      <w:numFmt w:val="decimal"/>
      <w:lvlText w:val="%1."/>
      <w:lvlJc w:val="left"/>
      <w:pPr>
        <w:ind w:left="358" w:hanging="240"/>
      </w:pPr>
      <w:rPr>
        <w:rFonts w:ascii="Arial" w:hAnsi="Arial" w:cs="Times New Roman" w:hint="default"/>
        <w:w w:val="99"/>
        <w:sz w:val="20"/>
        <w:szCs w:val="24"/>
      </w:rPr>
    </w:lvl>
    <w:lvl w:ilvl="1" w:tplc="F02A09BC">
      <w:start w:val="1"/>
      <w:numFmt w:val="bullet"/>
      <w:lvlText w:val="•"/>
      <w:lvlJc w:val="left"/>
      <w:pPr>
        <w:ind w:left="1252" w:hanging="240"/>
      </w:pPr>
      <w:rPr>
        <w:rFonts w:hint="default"/>
      </w:rPr>
    </w:lvl>
    <w:lvl w:ilvl="2" w:tplc="D2E08870">
      <w:start w:val="1"/>
      <w:numFmt w:val="bullet"/>
      <w:lvlText w:val="•"/>
      <w:lvlJc w:val="left"/>
      <w:pPr>
        <w:ind w:left="2146" w:hanging="240"/>
      </w:pPr>
      <w:rPr>
        <w:rFonts w:hint="default"/>
      </w:rPr>
    </w:lvl>
    <w:lvl w:ilvl="3" w:tplc="C86E9840">
      <w:start w:val="1"/>
      <w:numFmt w:val="bullet"/>
      <w:lvlText w:val="•"/>
      <w:lvlJc w:val="left"/>
      <w:pPr>
        <w:ind w:left="3040" w:hanging="240"/>
      </w:pPr>
      <w:rPr>
        <w:rFonts w:hint="default"/>
      </w:rPr>
    </w:lvl>
    <w:lvl w:ilvl="4" w:tplc="501A6F54">
      <w:start w:val="1"/>
      <w:numFmt w:val="bullet"/>
      <w:lvlText w:val="•"/>
      <w:lvlJc w:val="left"/>
      <w:pPr>
        <w:ind w:left="3935" w:hanging="240"/>
      </w:pPr>
      <w:rPr>
        <w:rFonts w:hint="default"/>
      </w:rPr>
    </w:lvl>
    <w:lvl w:ilvl="5" w:tplc="5A4A59B4">
      <w:start w:val="1"/>
      <w:numFmt w:val="bullet"/>
      <w:lvlText w:val="•"/>
      <w:lvlJc w:val="left"/>
      <w:pPr>
        <w:ind w:left="4829" w:hanging="240"/>
      </w:pPr>
      <w:rPr>
        <w:rFonts w:hint="default"/>
      </w:rPr>
    </w:lvl>
    <w:lvl w:ilvl="6" w:tplc="D8A8680C">
      <w:start w:val="1"/>
      <w:numFmt w:val="bullet"/>
      <w:lvlText w:val="•"/>
      <w:lvlJc w:val="left"/>
      <w:pPr>
        <w:ind w:left="5723" w:hanging="240"/>
      </w:pPr>
      <w:rPr>
        <w:rFonts w:hint="default"/>
      </w:rPr>
    </w:lvl>
    <w:lvl w:ilvl="7" w:tplc="077A3682">
      <w:start w:val="1"/>
      <w:numFmt w:val="bullet"/>
      <w:lvlText w:val="•"/>
      <w:lvlJc w:val="left"/>
      <w:pPr>
        <w:ind w:left="6617" w:hanging="240"/>
      </w:pPr>
      <w:rPr>
        <w:rFonts w:hint="default"/>
      </w:rPr>
    </w:lvl>
    <w:lvl w:ilvl="8" w:tplc="8EA02D68">
      <w:start w:val="1"/>
      <w:numFmt w:val="bullet"/>
      <w:lvlText w:val="•"/>
      <w:lvlJc w:val="left"/>
      <w:pPr>
        <w:ind w:left="7511" w:hanging="240"/>
      </w:pPr>
      <w:rPr>
        <w:rFonts w:hint="default"/>
      </w:rPr>
    </w:lvl>
  </w:abstractNum>
  <w:abstractNum w:abstractNumId="18" w15:restartNumberingAfterBreak="0">
    <w:nsid w:val="4AE27322"/>
    <w:multiLevelType w:val="hybridMultilevel"/>
    <w:tmpl w:val="82AEEF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109F3"/>
    <w:multiLevelType w:val="multilevel"/>
    <w:tmpl w:val="B4D01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0513D0"/>
    <w:multiLevelType w:val="hybridMultilevel"/>
    <w:tmpl w:val="39ACD528"/>
    <w:lvl w:ilvl="0" w:tplc="3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66C34"/>
    <w:multiLevelType w:val="hybridMultilevel"/>
    <w:tmpl w:val="BBEA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C7984"/>
    <w:multiLevelType w:val="hybridMultilevel"/>
    <w:tmpl w:val="03EE10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A3336"/>
    <w:multiLevelType w:val="hybridMultilevel"/>
    <w:tmpl w:val="BF60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958CD"/>
    <w:multiLevelType w:val="multilevel"/>
    <w:tmpl w:val="0764E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644500AA"/>
    <w:multiLevelType w:val="hybridMultilevel"/>
    <w:tmpl w:val="48705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822A54"/>
    <w:multiLevelType w:val="hybridMultilevel"/>
    <w:tmpl w:val="1C7C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364654"/>
    <w:multiLevelType w:val="hybridMultilevel"/>
    <w:tmpl w:val="7186C4EC"/>
    <w:lvl w:ilvl="0" w:tplc="0809000F">
      <w:start w:val="1"/>
      <w:numFmt w:val="decimal"/>
      <w:lvlText w:val="%1."/>
      <w:lvlJc w:val="left"/>
      <w:pPr>
        <w:ind w:left="838" w:hanging="360"/>
      </w:pPr>
      <w:rPr>
        <w:rFont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8" w15:restartNumberingAfterBreak="0">
    <w:nsid w:val="74733042"/>
    <w:multiLevelType w:val="hybridMultilevel"/>
    <w:tmpl w:val="161A6B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A68CB"/>
    <w:multiLevelType w:val="multilevel"/>
    <w:tmpl w:val="13840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3"/>
  </w:num>
  <w:num w:numId="3">
    <w:abstractNumId w:val="20"/>
  </w:num>
  <w:num w:numId="4">
    <w:abstractNumId w:val="2"/>
  </w:num>
  <w:num w:numId="5">
    <w:abstractNumId w:val="27"/>
  </w:num>
  <w:num w:numId="6">
    <w:abstractNumId w:val="14"/>
  </w:num>
  <w:num w:numId="7">
    <w:abstractNumId w:val="17"/>
  </w:num>
  <w:num w:numId="8">
    <w:abstractNumId w:val="10"/>
  </w:num>
  <w:num w:numId="9">
    <w:abstractNumId w:val="25"/>
  </w:num>
  <w:num w:numId="10">
    <w:abstractNumId w:val="15"/>
  </w:num>
  <w:num w:numId="11">
    <w:abstractNumId w:val="21"/>
  </w:num>
  <w:num w:numId="12">
    <w:abstractNumId w:val="11"/>
  </w:num>
  <w:num w:numId="13">
    <w:abstractNumId w:val="13"/>
  </w:num>
  <w:num w:numId="14">
    <w:abstractNumId w:val="23"/>
  </w:num>
  <w:num w:numId="15">
    <w:abstractNumId w:val="0"/>
  </w:num>
  <w:num w:numId="16">
    <w:abstractNumId w:val="9"/>
  </w:num>
  <w:num w:numId="17">
    <w:abstractNumId w:val="26"/>
  </w:num>
  <w:num w:numId="18">
    <w:abstractNumId w:val="6"/>
  </w:num>
  <w:num w:numId="19">
    <w:abstractNumId w:val="8"/>
  </w:num>
  <w:num w:numId="20">
    <w:abstractNumId w:val="7"/>
  </w:num>
  <w:num w:numId="21">
    <w:abstractNumId w:val="24"/>
  </w:num>
  <w:num w:numId="22">
    <w:abstractNumId w:val="19"/>
  </w:num>
  <w:num w:numId="23">
    <w:abstractNumId w:val="29"/>
  </w:num>
  <w:num w:numId="24">
    <w:abstractNumId w:val="5"/>
  </w:num>
  <w:num w:numId="25">
    <w:abstractNumId w:val="4"/>
  </w:num>
  <w:num w:numId="26">
    <w:abstractNumId w:val="16"/>
  </w:num>
  <w:num w:numId="27">
    <w:abstractNumId w:val="28"/>
  </w:num>
  <w:num w:numId="28">
    <w:abstractNumId w:val="22"/>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7F"/>
    <w:rsid w:val="00005E51"/>
    <w:rsid w:val="00017DB2"/>
    <w:rsid w:val="000267A4"/>
    <w:rsid w:val="00045C8D"/>
    <w:rsid w:val="0006193B"/>
    <w:rsid w:val="000677F7"/>
    <w:rsid w:val="00076568"/>
    <w:rsid w:val="00082CBC"/>
    <w:rsid w:val="000924FB"/>
    <w:rsid w:val="000975E8"/>
    <w:rsid w:val="000A146B"/>
    <w:rsid w:val="000C015C"/>
    <w:rsid w:val="000E111B"/>
    <w:rsid w:val="000E5CD7"/>
    <w:rsid w:val="00110715"/>
    <w:rsid w:val="00114A43"/>
    <w:rsid w:val="0015342C"/>
    <w:rsid w:val="0016272E"/>
    <w:rsid w:val="0017168D"/>
    <w:rsid w:val="0019510F"/>
    <w:rsid w:val="001B56E5"/>
    <w:rsid w:val="001F0E79"/>
    <w:rsid w:val="00207AB5"/>
    <w:rsid w:val="002215BB"/>
    <w:rsid w:val="0022511F"/>
    <w:rsid w:val="00231CED"/>
    <w:rsid w:val="002722F8"/>
    <w:rsid w:val="00281B95"/>
    <w:rsid w:val="00293930"/>
    <w:rsid w:val="002A261A"/>
    <w:rsid w:val="002A7F4A"/>
    <w:rsid w:val="002D1D64"/>
    <w:rsid w:val="002D4618"/>
    <w:rsid w:val="002E5DBB"/>
    <w:rsid w:val="00302774"/>
    <w:rsid w:val="003263AF"/>
    <w:rsid w:val="0038664A"/>
    <w:rsid w:val="00393DB4"/>
    <w:rsid w:val="00395B7C"/>
    <w:rsid w:val="0039615F"/>
    <w:rsid w:val="003A28F6"/>
    <w:rsid w:val="003D40A7"/>
    <w:rsid w:val="003E6B05"/>
    <w:rsid w:val="0040342C"/>
    <w:rsid w:val="0040391C"/>
    <w:rsid w:val="00427BEA"/>
    <w:rsid w:val="00430028"/>
    <w:rsid w:val="00430699"/>
    <w:rsid w:val="0044687B"/>
    <w:rsid w:val="00446BFC"/>
    <w:rsid w:val="004619B2"/>
    <w:rsid w:val="00462F47"/>
    <w:rsid w:val="00481990"/>
    <w:rsid w:val="00491442"/>
    <w:rsid w:val="00492A44"/>
    <w:rsid w:val="00497F2C"/>
    <w:rsid w:val="004A08AD"/>
    <w:rsid w:val="004B37F0"/>
    <w:rsid w:val="00515116"/>
    <w:rsid w:val="00516908"/>
    <w:rsid w:val="00527B3F"/>
    <w:rsid w:val="00534EEA"/>
    <w:rsid w:val="00542CB1"/>
    <w:rsid w:val="00543D55"/>
    <w:rsid w:val="00591E5D"/>
    <w:rsid w:val="00597196"/>
    <w:rsid w:val="00597897"/>
    <w:rsid w:val="005B054C"/>
    <w:rsid w:val="005C34A2"/>
    <w:rsid w:val="005F2656"/>
    <w:rsid w:val="00623997"/>
    <w:rsid w:val="00637EDD"/>
    <w:rsid w:val="00643375"/>
    <w:rsid w:val="00644CF0"/>
    <w:rsid w:val="00646CAC"/>
    <w:rsid w:val="006651DC"/>
    <w:rsid w:val="00667335"/>
    <w:rsid w:val="006875CF"/>
    <w:rsid w:val="006A7A20"/>
    <w:rsid w:val="006D1A0A"/>
    <w:rsid w:val="006E34ED"/>
    <w:rsid w:val="007108B4"/>
    <w:rsid w:val="00711A3A"/>
    <w:rsid w:val="00711E15"/>
    <w:rsid w:val="00724AD3"/>
    <w:rsid w:val="00727711"/>
    <w:rsid w:val="00730F0B"/>
    <w:rsid w:val="007319DE"/>
    <w:rsid w:val="00737F07"/>
    <w:rsid w:val="00764397"/>
    <w:rsid w:val="007956DF"/>
    <w:rsid w:val="007957B0"/>
    <w:rsid w:val="007A4A51"/>
    <w:rsid w:val="007B58BA"/>
    <w:rsid w:val="007B6269"/>
    <w:rsid w:val="007D0421"/>
    <w:rsid w:val="007D451F"/>
    <w:rsid w:val="007D7537"/>
    <w:rsid w:val="007E0666"/>
    <w:rsid w:val="007E6E99"/>
    <w:rsid w:val="007F3129"/>
    <w:rsid w:val="00800787"/>
    <w:rsid w:val="00805730"/>
    <w:rsid w:val="0080645E"/>
    <w:rsid w:val="008275D7"/>
    <w:rsid w:val="00827B08"/>
    <w:rsid w:val="00836580"/>
    <w:rsid w:val="008476CD"/>
    <w:rsid w:val="00847734"/>
    <w:rsid w:val="008603A8"/>
    <w:rsid w:val="0086464E"/>
    <w:rsid w:val="00873A00"/>
    <w:rsid w:val="00873F2D"/>
    <w:rsid w:val="00875C6C"/>
    <w:rsid w:val="00892942"/>
    <w:rsid w:val="008D237E"/>
    <w:rsid w:val="008D271E"/>
    <w:rsid w:val="008D2EFC"/>
    <w:rsid w:val="009000BE"/>
    <w:rsid w:val="00942778"/>
    <w:rsid w:val="00943A29"/>
    <w:rsid w:val="009C324D"/>
    <w:rsid w:val="009C60C7"/>
    <w:rsid w:val="009C6370"/>
    <w:rsid w:val="00A1121E"/>
    <w:rsid w:val="00A113A5"/>
    <w:rsid w:val="00A17D91"/>
    <w:rsid w:val="00A2061E"/>
    <w:rsid w:val="00A240B0"/>
    <w:rsid w:val="00A356B9"/>
    <w:rsid w:val="00A3726B"/>
    <w:rsid w:val="00A54CDA"/>
    <w:rsid w:val="00A557FA"/>
    <w:rsid w:val="00A7501D"/>
    <w:rsid w:val="00A82D69"/>
    <w:rsid w:val="00AA6BD1"/>
    <w:rsid w:val="00AB6341"/>
    <w:rsid w:val="00AC2E67"/>
    <w:rsid w:val="00AC377F"/>
    <w:rsid w:val="00AF64C4"/>
    <w:rsid w:val="00B032D3"/>
    <w:rsid w:val="00B036EC"/>
    <w:rsid w:val="00B15DD8"/>
    <w:rsid w:val="00B25E35"/>
    <w:rsid w:val="00B37AAB"/>
    <w:rsid w:val="00B7581A"/>
    <w:rsid w:val="00B83BAD"/>
    <w:rsid w:val="00B90A4C"/>
    <w:rsid w:val="00B96E42"/>
    <w:rsid w:val="00BA5DE0"/>
    <w:rsid w:val="00BD059C"/>
    <w:rsid w:val="00BE1A3D"/>
    <w:rsid w:val="00BF76B8"/>
    <w:rsid w:val="00C248FB"/>
    <w:rsid w:val="00C7298F"/>
    <w:rsid w:val="00C82E08"/>
    <w:rsid w:val="00C82EC9"/>
    <w:rsid w:val="00C83F1D"/>
    <w:rsid w:val="00CA4E31"/>
    <w:rsid w:val="00CA6899"/>
    <w:rsid w:val="00CD1AA6"/>
    <w:rsid w:val="00CE0362"/>
    <w:rsid w:val="00CE4232"/>
    <w:rsid w:val="00CF492C"/>
    <w:rsid w:val="00CF6E68"/>
    <w:rsid w:val="00D269A0"/>
    <w:rsid w:val="00D351A3"/>
    <w:rsid w:val="00D3712A"/>
    <w:rsid w:val="00D45029"/>
    <w:rsid w:val="00D6203E"/>
    <w:rsid w:val="00D6224B"/>
    <w:rsid w:val="00D654E4"/>
    <w:rsid w:val="00D76EDA"/>
    <w:rsid w:val="00D8029C"/>
    <w:rsid w:val="00D91C32"/>
    <w:rsid w:val="00DA7A47"/>
    <w:rsid w:val="00DB14E7"/>
    <w:rsid w:val="00DB25F6"/>
    <w:rsid w:val="00DC7EED"/>
    <w:rsid w:val="00DD3C43"/>
    <w:rsid w:val="00DD729A"/>
    <w:rsid w:val="00DE5D8E"/>
    <w:rsid w:val="00DF01C9"/>
    <w:rsid w:val="00E62640"/>
    <w:rsid w:val="00E818DC"/>
    <w:rsid w:val="00E852E1"/>
    <w:rsid w:val="00E978EB"/>
    <w:rsid w:val="00EC1407"/>
    <w:rsid w:val="00F04B31"/>
    <w:rsid w:val="00F056FE"/>
    <w:rsid w:val="00F25B1C"/>
    <w:rsid w:val="00F26BC5"/>
    <w:rsid w:val="00F330B8"/>
    <w:rsid w:val="00F3532F"/>
    <w:rsid w:val="00F4269A"/>
    <w:rsid w:val="00F4376D"/>
    <w:rsid w:val="00F52D79"/>
    <w:rsid w:val="00F573D5"/>
    <w:rsid w:val="00F82353"/>
    <w:rsid w:val="00FB7749"/>
    <w:rsid w:val="00FC190A"/>
    <w:rsid w:val="00FE0B65"/>
    <w:rsid w:val="00FF50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2BC9FF"/>
  <w15:docId w15:val="{30555B8A-80F5-9E4D-932A-666BD720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AC377F"/>
    <w:pPr>
      <w:spacing w:after="0" w:line="240" w:lineRule="auto"/>
    </w:pPr>
    <w:rPr>
      <w:rFonts w:ascii="Arial" w:eastAsia="Times New Roman" w:hAnsi="Arial" w:cs="Arial"/>
      <w:sz w:val="20"/>
      <w:szCs w:val="20"/>
      <w:lang w:eastAsia="en-GB"/>
    </w:rPr>
  </w:style>
  <w:style w:type="paragraph" w:styleId="Heading1">
    <w:name w:val="heading 1"/>
    <w:basedOn w:val="Normal"/>
    <w:next w:val="Normal"/>
    <w:link w:val="Heading1Char"/>
    <w:uiPriority w:val="9"/>
    <w:qFormat/>
    <w:rsid w:val="00BA5DE0"/>
    <w:pPr>
      <w:keepNext/>
      <w:keepLines/>
      <w:spacing w:after="240"/>
      <w:outlineLvl w:val="0"/>
    </w:pPr>
    <w:rPr>
      <w:rFonts w:eastAsiaTheme="majorEastAsia"/>
      <w:bCs/>
      <w:sz w:val="24"/>
      <w:szCs w:val="24"/>
    </w:rPr>
  </w:style>
  <w:style w:type="paragraph" w:styleId="Heading3">
    <w:name w:val="heading 3"/>
    <w:basedOn w:val="Normal"/>
    <w:link w:val="Heading3Char"/>
    <w:qFormat/>
    <w:rsid w:val="00AC377F"/>
    <w:pPr>
      <w:spacing w:after="2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8029C"/>
    <w:pPr>
      <w:tabs>
        <w:tab w:val="center" w:pos="4513"/>
        <w:tab w:val="right" w:pos="9026"/>
      </w:tabs>
    </w:pPr>
    <w:rPr>
      <w:color w:val="0092D1" w:themeColor="text2"/>
      <w:sz w:val="16"/>
    </w:rPr>
  </w:style>
  <w:style w:type="character" w:customStyle="1" w:styleId="FooterChar">
    <w:name w:val="Footer Char"/>
    <w:basedOn w:val="DefaultParagraphFont"/>
    <w:link w:val="Footer"/>
    <w:uiPriority w:val="99"/>
    <w:rsid w:val="00D8029C"/>
    <w:rPr>
      <w:rFonts w:ascii="Open Sans" w:hAnsi="Open Sans"/>
      <w:color w:val="0092D1" w:themeColor="text2"/>
      <w:sz w:val="16"/>
    </w:rPr>
  </w:style>
  <w:style w:type="paragraph" w:styleId="BalloonText">
    <w:name w:val="Balloon Text"/>
    <w:basedOn w:val="Normal"/>
    <w:link w:val="BalloonTextChar"/>
    <w:uiPriority w:val="99"/>
    <w:semiHidden/>
    <w:unhideWhenUsed/>
    <w:rsid w:val="00FB7749"/>
    <w:rPr>
      <w:rFonts w:ascii="Tahoma" w:hAnsi="Tahoma" w:cs="Tahoma"/>
      <w:sz w:val="16"/>
      <w:szCs w:val="16"/>
    </w:rPr>
  </w:style>
  <w:style w:type="character" w:customStyle="1" w:styleId="BalloonTextChar">
    <w:name w:val="Balloon Text Char"/>
    <w:basedOn w:val="DefaultParagraphFont"/>
    <w:link w:val="BalloonText"/>
    <w:uiPriority w:val="99"/>
    <w:semiHidden/>
    <w:rsid w:val="00FB7749"/>
    <w:rPr>
      <w:rFonts w:ascii="Tahoma" w:hAnsi="Tahoma" w:cs="Tahoma"/>
      <w:sz w:val="16"/>
      <w:szCs w:val="16"/>
    </w:rPr>
  </w:style>
  <w:style w:type="character" w:customStyle="1" w:styleId="Heading1Char">
    <w:name w:val="Heading 1 Char"/>
    <w:basedOn w:val="DefaultParagraphFont"/>
    <w:link w:val="Heading1"/>
    <w:uiPriority w:val="9"/>
    <w:rsid w:val="00BA5DE0"/>
    <w:rPr>
      <w:rFonts w:ascii="Arial" w:eastAsiaTheme="majorEastAsia" w:hAnsi="Arial" w:cs="Arial"/>
      <w:bCs/>
      <w:color w:val="000000" w:themeColor="text1"/>
      <w:sz w:val="24"/>
      <w:szCs w:val="24"/>
    </w:rPr>
  </w:style>
  <w:style w:type="table" w:styleId="TableGrid">
    <w:name w:val="Table Grid"/>
    <w:basedOn w:val="TableNormal"/>
    <w:uiPriority w:val="59"/>
    <w:rsid w:val="00082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C377F"/>
    <w:rPr>
      <w:rFonts w:ascii="Arial" w:eastAsia="Times New Roman" w:hAnsi="Arial" w:cs="Arial"/>
      <w:b/>
      <w:bCs/>
      <w:lang w:eastAsia="en-GB"/>
    </w:rPr>
  </w:style>
  <w:style w:type="character" w:styleId="Hyperlink">
    <w:name w:val="Hyperlink"/>
    <w:uiPriority w:val="99"/>
    <w:unhideWhenUsed/>
    <w:rsid w:val="00AC377F"/>
    <w:rPr>
      <w:color w:val="2E74C5"/>
      <w:u w:val="single"/>
    </w:rPr>
  </w:style>
  <w:style w:type="paragraph" w:styleId="CommentText">
    <w:name w:val="annotation text"/>
    <w:basedOn w:val="Normal"/>
    <w:link w:val="CommentTextChar"/>
    <w:rsid w:val="00AC377F"/>
    <w:rPr>
      <w:rFonts w:ascii="Verdana" w:hAnsi="Verdana"/>
    </w:rPr>
  </w:style>
  <w:style w:type="character" w:customStyle="1" w:styleId="CommentTextChar">
    <w:name w:val="Comment Text Char"/>
    <w:basedOn w:val="DefaultParagraphFont"/>
    <w:link w:val="CommentText"/>
    <w:rsid w:val="00AC377F"/>
    <w:rPr>
      <w:rFonts w:ascii="Verdana" w:eastAsia="Times New Roman" w:hAnsi="Verdana" w:cs="Arial"/>
      <w:sz w:val="20"/>
      <w:szCs w:val="20"/>
      <w:lang w:eastAsia="en-GB"/>
    </w:rPr>
  </w:style>
  <w:style w:type="character" w:customStyle="1" w:styleId="LightGrid-Accent3Char">
    <w:name w:val="Light Grid - Accent 3 Char"/>
    <w:aliases w:val="AFSN List Paragraph Char"/>
    <w:link w:val="LightGrid-Accent3"/>
    <w:uiPriority w:val="34"/>
    <w:rsid w:val="00AC377F"/>
    <w:rPr>
      <w:rFonts w:ascii="Calibri" w:eastAsia="Calibri" w:hAnsi="Calibri"/>
      <w:sz w:val="22"/>
      <w:szCs w:val="22"/>
    </w:rPr>
  </w:style>
  <w:style w:type="character" w:customStyle="1" w:styleId="apple-converted-space">
    <w:name w:val="apple-converted-space"/>
    <w:basedOn w:val="DefaultParagraphFont"/>
    <w:rsid w:val="00AC377F"/>
  </w:style>
  <w:style w:type="paragraph" w:customStyle="1" w:styleId="Headline">
    <w:name w:val="Headline"/>
    <w:basedOn w:val="Heading1"/>
    <w:link w:val="HeadlineChar"/>
    <w:qFormat/>
    <w:rsid w:val="00AC377F"/>
    <w:pPr>
      <w:spacing w:before="360" w:after="120"/>
    </w:pPr>
    <w:rPr>
      <w:rFonts w:eastAsia="Times New Roman"/>
      <w:b/>
      <w:color w:val="518ECB"/>
      <w:sz w:val="28"/>
      <w:szCs w:val="28"/>
    </w:rPr>
  </w:style>
  <w:style w:type="character" w:customStyle="1" w:styleId="HeadlineChar">
    <w:name w:val="Headline Char"/>
    <w:link w:val="Headline"/>
    <w:rsid w:val="00AC377F"/>
    <w:rPr>
      <w:rFonts w:ascii="Arial" w:eastAsia="Times New Roman" w:hAnsi="Arial" w:cs="Arial"/>
      <w:b/>
      <w:bCs/>
      <w:color w:val="518ECB"/>
      <w:sz w:val="28"/>
      <w:szCs w:val="28"/>
      <w:lang w:eastAsia="en-GB"/>
    </w:rPr>
  </w:style>
  <w:style w:type="table" w:styleId="LightGrid-Accent3">
    <w:name w:val="Light Grid Accent 3"/>
    <w:basedOn w:val="TableNormal"/>
    <w:link w:val="LightGrid-Accent3Char"/>
    <w:uiPriority w:val="34"/>
    <w:rsid w:val="00AC377F"/>
    <w:pPr>
      <w:spacing w:after="0" w:line="240" w:lineRule="auto"/>
    </w:pPr>
    <w:rPr>
      <w:rFonts w:ascii="Calibri" w:eastAsia="Calibri" w:hAnsi="Calibri"/>
    </w:rPr>
    <w:tblPr>
      <w:tblStyleRowBandSize w:val="1"/>
      <w:tblStyleColBandSize w:val="1"/>
      <w:tblBorders>
        <w:top w:val="single" w:sz="8" w:space="0" w:color="4EC3E0" w:themeColor="accent3"/>
        <w:left w:val="single" w:sz="8" w:space="0" w:color="4EC3E0" w:themeColor="accent3"/>
        <w:bottom w:val="single" w:sz="8" w:space="0" w:color="4EC3E0" w:themeColor="accent3"/>
        <w:right w:val="single" w:sz="8" w:space="0" w:color="4EC3E0" w:themeColor="accent3"/>
        <w:insideH w:val="single" w:sz="8" w:space="0" w:color="4EC3E0" w:themeColor="accent3"/>
        <w:insideV w:val="single" w:sz="8" w:space="0" w:color="4EC3E0" w:themeColor="accent3"/>
      </w:tblBorders>
    </w:tblPr>
    <w:tblStylePr w:type="firstRow">
      <w:pPr>
        <w:spacing w:before="0" w:after="0" w:line="240" w:lineRule="auto"/>
      </w:pPr>
      <w:tblPr/>
      <w:tcPr>
        <w:tcBorders>
          <w:top w:val="single" w:sz="8" w:space="0" w:color="4EC3E0" w:themeColor="accent3"/>
          <w:left w:val="single" w:sz="8" w:space="0" w:color="4EC3E0" w:themeColor="accent3"/>
          <w:bottom w:val="single" w:sz="18" w:space="0" w:color="4EC3E0" w:themeColor="accent3"/>
          <w:right w:val="single" w:sz="8" w:space="0" w:color="4EC3E0" w:themeColor="accent3"/>
          <w:insideH w:val="nil"/>
          <w:insideV w:val="single" w:sz="8" w:space="0" w:color="4EC3E0" w:themeColor="accent3"/>
        </w:tcBorders>
      </w:tcPr>
    </w:tblStylePr>
    <w:tblStylePr w:type="lastRow">
      <w:pPr>
        <w:spacing w:before="0" w:after="0" w:line="240" w:lineRule="auto"/>
      </w:pPr>
      <w:tblPr/>
      <w:tcPr>
        <w:tcBorders>
          <w:top w:val="double" w:sz="6" w:space="0" w:color="4EC3E0" w:themeColor="accent3"/>
          <w:left w:val="single" w:sz="8" w:space="0" w:color="4EC3E0" w:themeColor="accent3"/>
          <w:bottom w:val="single" w:sz="8" w:space="0" w:color="4EC3E0" w:themeColor="accent3"/>
          <w:right w:val="single" w:sz="8" w:space="0" w:color="4EC3E0" w:themeColor="accent3"/>
          <w:insideH w:val="nil"/>
          <w:insideV w:val="single" w:sz="8" w:space="0" w:color="4EC3E0" w:themeColor="accent3"/>
        </w:tcBorders>
      </w:tcPr>
    </w:tblStylePr>
    <w:tblStylePr w:type="lastCol">
      <w:tblPr/>
      <w:tcPr>
        <w:tcBorders>
          <w:top w:val="single" w:sz="8" w:space="0" w:color="4EC3E0" w:themeColor="accent3"/>
          <w:left w:val="single" w:sz="8" w:space="0" w:color="4EC3E0" w:themeColor="accent3"/>
          <w:bottom w:val="single" w:sz="8" w:space="0" w:color="4EC3E0" w:themeColor="accent3"/>
          <w:right w:val="single" w:sz="8" w:space="0" w:color="4EC3E0" w:themeColor="accent3"/>
        </w:tcBorders>
      </w:tcPr>
    </w:tblStylePr>
    <w:tblStylePr w:type="band1Vert">
      <w:tblPr/>
      <w:tcPr>
        <w:tcBorders>
          <w:top w:val="single" w:sz="8" w:space="0" w:color="4EC3E0" w:themeColor="accent3"/>
          <w:left w:val="single" w:sz="8" w:space="0" w:color="4EC3E0" w:themeColor="accent3"/>
          <w:bottom w:val="single" w:sz="8" w:space="0" w:color="4EC3E0" w:themeColor="accent3"/>
          <w:right w:val="single" w:sz="8" w:space="0" w:color="4EC3E0" w:themeColor="accent3"/>
        </w:tcBorders>
        <w:shd w:val="clear" w:color="auto" w:fill="D3F0F7" w:themeFill="accent3" w:themeFillTint="3F"/>
      </w:tcPr>
    </w:tblStylePr>
    <w:tblStylePr w:type="band1Horz">
      <w:tblPr/>
      <w:tcPr>
        <w:tcBorders>
          <w:top w:val="single" w:sz="8" w:space="0" w:color="4EC3E0" w:themeColor="accent3"/>
          <w:left w:val="single" w:sz="8" w:space="0" w:color="4EC3E0" w:themeColor="accent3"/>
          <w:bottom w:val="single" w:sz="8" w:space="0" w:color="4EC3E0" w:themeColor="accent3"/>
          <w:right w:val="single" w:sz="8" w:space="0" w:color="4EC3E0" w:themeColor="accent3"/>
          <w:insideV w:val="single" w:sz="8" w:space="0" w:color="4EC3E0" w:themeColor="accent3"/>
        </w:tcBorders>
        <w:shd w:val="clear" w:color="auto" w:fill="D3F0F7" w:themeFill="accent3" w:themeFillTint="3F"/>
      </w:tcPr>
    </w:tblStylePr>
    <w:tblStylePr w:type="band2Horz">
      <w:tblPr/>
      <w:tcPr>
        <w:tcBorders>
          <w:top w:val="single" w:sz="8" w:space="0" w:color="4EC3E0" w:themeColor="accent3"/>
          <w:left w:val="single" w:sz="8" w:space="0" w:color="4EC3E0" w:themeColor="accent3"/>
          <w:bottom w:val="single" w:sz="8" w:space="0" w:color="4EC3E0" w:themeColor="accent3"/>
          <w:right w:val="single" w:sz="8" w:space="0" w:color="4EC3E0" w:themeColor="accent3"/>
          <w:insideV w:val="single" w:sz="8" w:space="0" w:color="4EC3E0" w:themeColor="accent3"/>
        </w:tcBorders>
      </w:tcPr>
    </w:tblStylePr>
  </w:style>
  <w:style w:type="paragraph" w:styleId="BodyText">
    <w:name w:val="Body Text"/>
    <w:basedOn w:val="Normal"/>
    <w:link w:val="BodyTextChar"/>
    <w:rsid w:val="00AC377F"/>
    <w:pPr>
      <w:spacing w:line="360" w:lineRule="auto"/>
      <w:jc w:val="both"/>
    </w:pPr>
    <w:rPr>
      <w:rFonts w:ascii="Verdana" w:eastAsia="Arial Unicode MS" w:hAnsi="Verdana"/>
      <w:color w:val="0000FF"/>
      <w:sz w:val="22"/>
    </w:rPr>
  </w:style>
  <w:style w:type="character" w:customStyle="1" w:styleId="BodyTextChar">
    <w:name w:val="Body Text Char"/>
    <w:basedOn w:val="DefaultParagraphFont"/>
    <w:link w:val="BodyText"/>
    <w:rsid w:val="00AC377F"/>
    <w:rPr>
      <w:rFonts w:ascii="Verdana" w:eastAsia="Arial Unicode MS" w:hAnsi="Verdana" w:cs="Arial"/>
      <w:color w:val="0000FF"/>
      <w:szCs w:val="20"/>
      <w:lang w:eastAsia="en-GB"/>
    </w:rPr>
  </w:style>
  <w:style w:type="paragraph" w:styleId="BlockText">
    <w:name w:val="Block Text"/>
    <w:basedOn w:val="Normal"/>
    <w:rsid w:val="00AC377F"/>
    <w:pPr>
      <w:widowControl w:val="0"/>
      <w:tabs>
        <w:tab w:val="left" w:pos="1843"/>
      </w:tabs>
      <w:ind w:left="144" w:right="72"/>
    </w:pPr>
    <w:rPr>
      <w:noProof/>
      <w:snapToGrid w:val="0"/>
    </w:rPr>
  </w:style>
  <w:style w:type="paragraph" w:styleId="FootnoteText">
    <w:name w:val="footnote text"/>
    <w:basedOn w:val="Normal"/>
    <w:link w:val="FootnoteTextChar"/>
    <w:uiPriority w:val="99"/>
    <w:rsid w:val="00AC377F"/>
  </w:style>
  <w:style w:type="character" w:customStyle="1" w:styleId="FootnoteTextChar">
    <w:name w:val="Footnote Text Char"/>
    <w:basedOn w:val="DefaultParagraphFont"/>
    <w:link w:val="FootnoteText"/>
    <w:uiPriority w:val="99"/>
    <w:rsid w:val="00AC377F"/>
    <w:rPr>
      <w:rFonts w:ascii="Arial" w:eastAsia="Times New Roman" w:hAnsi="Arial" w:cs="Arial"/>
      <w:sz w:val="20"/>
      <w:szCs w:val="20"/>
      <w:lang w:eastAsia="en-GB"/>
    </w:rPr>
  </w:style>
  <w:style w:type="character" w:styleId="FootnoteReference">
    <w:name w:val="footnote reference"/>
    <w:uiPriority w:val="99"/>
    <w:rsid w:val="00AC377F"/>
    <w:rPr>
      <w:vertAlign w:val="superscript"/>
    </w:rPr>
  </w:style>
  <w:style w:type="paragraph" w:styleId="ListParagraph">
    <w:name w:val="List Paragraph"/>
    <w:basedOn w:val="Normal"/>
    <w:link w:val="ListParagraphChar"/>
    <w:uiPriority w:val="34"/>
    <w:qFormat/>
    <w:rsid w:val="00AC377F"/>
    <w:pPr>
      <w:ind w:left="720"/>
      <w:contextualSpacing/>
    </w:pPr>
  </w:style>
  <w:style w:type="character" w:styleId="CommentReference">
    <w:name w:val="annotation reference"/>
    <w:rsid w:val="00DE5D8E"/>
    <w:rPr>
      <w:sz w:val="16"/>
      <w:szCs w:val="16"/>
    </w:rPr>
  </w:style>
  <w:style w:type="character" w:customStyle="1" w:styleId="ListParagraphChar">
    <w:name w:val="List Paragraph Char"/>
    <w:basedOn w:val="DefaultParagraphFont"/>
    <w:link w:val="ListParagraph"/>
    <w:uiPriority w:val="34"/>
    <w:rsid w:val="00DE5D8E"/>
    <w:rPr>
      <w:rFonts w:ascii="Arial" w:eastAsia="Times New Roman" w:hAnsi="Arial" w:cs="Arial"/>
      <w:sz w:val="20"/>
      <w:szCs w:val="20"/>
      <w:lang w:eastAsia="en-GB"/>
    </w:rPr>
  </w:style>
  <w:style w:type="paragraph" w:styleId="NormalWeb">
    <w:name w:val="Normal (Web)"/>
    <w:basedOn w:val="Normal"/>
    <w:uiPriority w:val="99"/>
    <w:unhideWhenUsed/>
    <w:rsid w:val="00A557FA"/>
    <w:pPr>
      <w:spacing w:before="100" w:beforeAutospacing="1" w:after="100" w:afterAutospacing="1"/>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90A4C"/>
    <w:rPr>
      <w:rFonts w:ascii="Arial" w:hAnsi="Arial"/>
      <w:b/>
      <w:bCs/>
    </w:rPr>
  </w:style>
  <w:style w:type="character" w:customStyle="1" w:styleId="CommentSubjectChar">
    <w:name w:val="Comment Subject Char"/>
    <w:basedOn w:val="CommentTextChar"/>
    <w:link w:val="CommentSubject"/>
    <w:uiPriority w:val="99"/>
    <w:semiHidden/>
    <w:rsid w:val="00B90A4C"/>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5978">
      <w:bodyDiv w:val="1"/>
      <w:marLeft w:val="0"/>
      <w:marRight w:val="0"/>
      <w:marTop w:val="0"/>
      <w:marBottom w:val="0"/>
      <w:divBdr>
        <w:top w:val="none" w:sz="0" w:space="0" w:color="auto"/>
        <w:left w:val="none" w:sz="0" w:space="0" w:color="auto"/>
        <w:bottom w:val="none" w:sz="0" w:space="0" w:color="auto"/>
        <w:right w:val="none" w:sz="0" w:space="0" w:color="auto"/>
      </w:divBdr>
    </w:div>
    <w:div w:id="239407639">
      <w:bodyDiv w:val="1"/>
      <w:marLeft w:val="0"/>
      <w:marRight w:val="0"/>
      <w:marTop w:val="0"/>
      <w:marBottom w:val="0"/>
      <w:divBdr>
        <w:top w:val="none" w:sz="0" w:space="0" w:color="auto"/>
        <w:left w:val="none" w:sz="0" w:space="0" w:color="auto"/>
        <w:bottom w:val="none" w:sz="0" w:space="0" w:color="auto"/>
        <w:right w:val="none" w:sz="0" w:space="0" w:color="auto"/>
      </w:divBdr>
    </w:div>
    <w:div w:id="246230676">
      <w:bodyDiv w:val="1"/>
      <w:marLeft w:val="0"/>
      <w:marRight w:val="0"/>
      <w:marTop w:val="0"/>
      <w:marBottom w:val="0"/>
      <w:divBdr>
        <w:top w:val="none" w:sz="0" w:space="0" w:color="auto"/>
        <w:left w:val="none" w:sz="0" w:space="0" w:color="auto"/>
        <w:bottom w:val="none" w:sz="0" w:space="0" w:color="auto"/>
        <w:right w:val="none" w:sz="0" w:space="0" w:color="auto"/>
      </w:divBdr>
    </w:div>
    <w:div w:id="416831717">
      <w:bodyDiv w:val="1"/>
      <w:marLeft w:val="0"/>
      <w:marRight w:val="0"/>
      <w:marTop w:val="0"/>
      <w:marBottom w:val="0"/>
      <w:divBdr>
        <w:top w:val="none" w:sz="0" w:space="0" w:color="auto"/>
        <w:left w:val="none" w:sz="0" w:space="0" w:color="auto"/>
        <w:bottom w:val="none" w:sz="0" w:space="0" w:color="auto"/>
        <w:right w:val="none" w:sz="0" w:space="0" w:color="auto"/>
      </w:divBdr>
    </w:div>
    <w:div w:id="449057939">
      <w:bodyDiv w:val="1"/>
      <w:marLeft w:val="0"/>
      <w:marRight w:val="0"/>
      <w:marTop w:val="0"/>
      <w:marBottom w:val="0"/>
      <w:divBdr>
        <w:top w:val="none" w:sz="0" w:space="0" w:color="auto"/>
        <w:left w:val="none" w:sz="0" w:space="0" w:color="auto"/>
        <w:bottom w:val="none" w:sz="0" w:space="0" w:color="auto"/>
        <w:right w:val="none" w:sz="0" w:space="0" w:color="auto"/>
      </w:divBdr>
      <w:divsChild>
        <w:div w:id="80101204">
          <w:marLeft w:val="0"/>
          <w:marRight w:val="0"/>
          <w:marTop w:val="0"/>
          <w:marBottom w:val="0"/>
          <w:divBdr>
            <w:top w:val="none" w:sz="0" w:space="0" w:color="auto"/>
            <w:left w:val="none" w:sz="0" w:space="0" w:color="auto"/>
            <w:bottom w:val="none" w:sz="0" w:space="0" w:color="auto"/>
            <w:right w:val="none" w:sz="0" w:space="0" w:color="auto"/>
          </w:divBdr>
        </w:div>
      </w:divsChild>
    </w:div>
    <w:div w:id="581767788">
      <w:bodyDiv w:val="1"/>
      <w:marLeft w:val="0"/>
      <w:marRight w:val="0"/>
      <w:marTop w:val="0"/>
      <w:marBottom w:val="0"/>
      <w:divBdr>
        <w:top w:val="none" w:sz="0" w:space="0" w:color="auto"/>
        <w:left w:val="none" w:sz="0" w:space="0" w:color="auto"/>
        <w:bottom w:val="none" w:sz="0" w:space="0" w:color="auto"/>
        <w:right w:val="none" w:sz="0" w:space="0" w:color="auto"/>
      </w:divBdr>
    </w:div>
    <w:div w:id="730889204">
      <w:bodyDiv w:val="1"/>
      <w:marLeft w:val="0"/>
      <w:marRight w:val="0"/>
      <w:marTop w:val="0"/>
      <w:marBottom w:val="0"/>
      <w:divBdr>
        <w:top w:val="none" w:sz="0" w:space="0" w:color="auto"/>
        <w:left w:val="none" w:sz="0" w:space="0" w:color="auto"/>
        <w:bottom w:val="none" w:sz="0" w:space="0" w:color="auto"/>
        <w:right w:val="none" w:sz="0" w:space="0" w:color="auto"/>
      </w:divBdr>
    </w:div>
    <w:div w:id="1388069430">
      <w:bodyDiv w:val="1"/>
      <w:marLeft w:val="0"/>
      <w:marRight w:val="0"/>
      <w:marTop w:val="0"/>
      <w:marBottom w:val="0"/>
      <w:divBdr>
        <w:top w:val="none" w:sz="0" w:space="0" w:color="auto"/>
        <w:left w:val="none" w:sz="0" w:space="0" w:color="auto"/>
        <w:bottom w:val="none" w:sz="0" w:space="0" w:color="auto"/>
        <w:right w:val="none" w:sz="0" w:space="0" w:color="auto"/>
      </w:divBdr>
    </w:div>
    <w:div w:id="1464737155">
      <w:bodyDiv w:val="1"/>
      <w:marLeft w:val="0"/>
      <w:marRight w:val="0"/>
      <w:marTop w:val="0"/>
      <w:marBottom w:val="0"/>
      <w:divBdr>
        <w:top w:val="none" w:sz="0" w:space="0" w:color="auto"/>
        <w:left w:val="none" w:sz="0" w:space="0" w:color="auto"/>
        <w:bottom w:val="none" w:sz="0" w:space="0" w:color="auto"/>
        <w:right w:val="none" w:sz="0" w:space="0" w:color="auto"/>
      </w:divBdr>
    </w:div>
    <w:div w:id="1582987274">
      <w:bodyDiv w:val="1"/>
      <w:marLeft w:val="0"/>
      <w:marRight w:val="0"/>
      <w:marTop w:val="0"/>
      <w:marBottom w:val="0"/>
      <w:divBdr>
        <w:top w:val="none" w:sz="0" w:space="0" w:color="auto"/>
        <w:left w:val="none" w:sz="0" w:space="0" w:color="auto"/>
        <w:bottom w:val="none" w:sz="0" w:space="0" w:color="auto"/>
        <w:right w:val="none" w:sz="0" w:space="0" w:color="auto"/>
      </w:divBdr>
    </w:div>
    <w:div w:id="15874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umk\Downloads\Template_Letterhead_A4%20size_Arial_EN.dotx" TargetMode="External"/></Relationships>
</file>

<file path=word/theme/theme1.xml><?xml version="1.0" encoding="utf-8"?>
<a:theme xmlns:a="http://schemas.openxmlformats.org/drawingml/2006/main" name="Office Theme">
  <a:themeElements>
    <a:clrScheme name="UNOPS colours for Blue PPT">
      <a:dk1>
        <a:sysClr val="windowText" lastClr="000000"/>
      </a:dk1>
      <a:lt1>
        <a:sysClr val="window" lastClr="FFFFFF"/>
      </a:lt1>
      <a:dk2>
        <a:srgbClr val="0092D1"/>
      </a:dk2>
      <a:lt2>
        <a:srgbClr val="D7D2CB"/>
      </a:lt2>
      <a:accent1>
        <a:srgbClr val="FFC72C"/>
      </a:accent1>
      <a:accent2>
        <a:srgbClr val="97D700"/>
      </a:accent2>
      <a:accent3>
        <a:srgbClr val="4EC3E0"/>
      </a:accent3>
      <a:accent4>
        <a:srgbClr val="FF6900"/>
      </a:accent4>
      <a:accent5>
        <a:srgbClr val="004976"/>
      </a:accent5>
      <a:accent6>
        <a:srgbClr val="991E66"/>
      </a:accent6>
      <a:hlink>
        <a:srgbClr val="0092D1"/>
      </a:hlink>
      <a:folHlink>
        <a:srgbClr val="0074AF"/>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d1789be-2b34-414d-b761-149aa1689c70">DOCID-2779-230</_dlc_DocId>
    <_dlc_DocIdUrl xmlns="8d1789be-2b34-414d-b761-149aa1689c70">
      <Url>https://intra.unops.org/g/communications/request-support/_layouts/15/DocIdRedir.aspx?ID=DOCID-2779-230</Url>
      <Description>DOCID-2779-230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77862A0FBB0D41BA2135A5F27DA86F" ma:contentTypeVersion="2" ma:contentTypeDescription="Create a new document." ma:contentTypeScope="" ma:versionID="8e72087c0b46e4e36996aa1b284950ae">
  <xsd:schema xmlns:xsd="http://www.w3.org/2001/XMLSchema" xmlns:xs="http://www.w3.org/2001/XMLSchema" xmlns:p="http://schemas.microsoft.com/office/2006/metadata/properties" xmlns:ns1="http://schemas.microsoft.com/sharepoint/v3" xmlns:ns2="8d1789be-2b34-414d-b761-149aa1689c70" targetNamespace="http://schemas.microsoft.com/office/2006/metadata/properties" ma:root="true" ma:fieldsID="3036cbfa4ca16436e15861bad81a8fc4" ns1:_="" ns2:_="">
    <xsd:import namespace="http://schemas.microsoft.com/sharepoint/v3"/>
    <xsd:import namespace="8d1789be-2b34-414d-b761-149aa1689c7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B667B-FC27-4DE8-B9E2-E6114F217BF6}">
  <ds:schemaRefs>
    <ds:schemaRef ds:uri="http://schemas.microsoft.com/office/2006/metadata/properties"/>
    <ds:schemaRef ds:uri="http://schemas.microsoft.com/office/infopath/2007/PartnerControls"/>
    <ds:schemaRef ds:uri="http://schemas.microsoft.com/sharepoint/v3"/>
    <ds:schemaRef ds:uri="8d1789be-2b34-414d-b761-149aa1689c70"/>
  </ds:schemaRefs>
</ds:datastoreItem>
</file>

<file path=customXml/itemProps2.xml><?xml version="1.0" encoding="utf-8"?>
<ds:datastoreItem xmlns:ds="http://schemas.openxmlformats.org/officeDocument/2006/customXml" ds:itemID="{17223AC5-0A6D-42AF-A498-717976559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789be-2b34-414d-b761-149aa168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4E683-AEDB-42CF-849F-80599C65D4F6}">
  <ds:schemaRefs>
    <ds:schemaRef ds:uri="http://schemas.microsoft.com/sharepoint/events"/>
  </ds:schemaRefs>
</ds:datastoreItem>
</file>

<file path=customXml/itemProps4.xml><?xml version="1.0" encoding="utf-8"?>
<ds:datastoreItem xmlns:ds="http://schemas.openxmlformats.org/officeDocument/2006/customXml" ds:itemID="{58AEA976-3641-464F-81F2-F68EC9CB1034}">
  <ds:schemaRefs>
    <ds:schemaRef ds:uri="http://schemas.microsoft.com/sharepoint/v3/contenttype/forms"/>
  </ds:schemaRefs>
</ds:datastoreItem>
</file>

<file path=customXml/itemProps5.xml><?xml version="1.0" encoding="utf-8"?>
<ds:datastoreItem xmlns:ds="http://schemas.openxmlformats.org/officeDocument/2006/customXml" ds:itemID="{2C90E5F3-8B0A-8C46-9AC1-BE027FF4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C:\Users\begumk\Downloads\Template_Letterhead_A4 size_Arial_EN.dotx</Template>
  <TotalTime>0</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 KIRCI</dc:creator>
  <cp:lastModifiedBy>Anisa Gallagher</cp:lastModifiedBy>
  <cp:revision>2</cp:revision>
  <cp:lastPrinted>2017-08-15T13:20:00Z</cp:lastPrinted>
  <dcterms:created xsi:type="dcterms:W3CDTF">2019-05-21T09:33:00Z</dcterms:created>
  <dcterms:modified xsi:type="dcterms:W3CDTF">2019-05-21T09:33:00Z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0x0101009B77862A0FBB0D41BA2135A5F27DA86F</vt:lpwstr>
  </property>
  <property fmtid="{D5CDD505-2E9C-101B-9397-08002B2CF9AE}" pid="3" name="_dlc_DocIdItemGuid">
    <vt:lpwstr>1db9e2ed-ab85-4bee-b865-d0b36d2eedd9</vt:lpwstr>
  </property>
</Properties>
</file>